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063398" w:rsidP="00DB50A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Introduction to </w:t>
            </w:r>
            <w:r w:rsidR="00DB50A6">
              <w:rPr>
                <w:rFonts w:ascii="Arial" w:hAnsi="Arial" w:cs="Arial"/>
                <w:sz w:val="20"/>
                <w:szCs w:val="20"/>
                <w:lang w:val="en-US"/>
              </w:rPr>
              <w:t>Accounting I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5E0203" w:rsidP="00DB5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5E0203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="00DB50A6">
              <w:rPr>
                <w:rFonts w:ascii="Arial" w:hAnsi="Arial" w:cs="Arial"/>
                <w:sz w:val="20"/>
                <w:szCs w:val="20"/>
                <w:lang w:val="en-US" w:eastAsia="en-GB"/>
              </w:rPr>
              <w:t>AAC</w:t>
            </w:r>
            <w:r w:rsidRPr="005E020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</w:t>
            </w:r>
            <w:r w:rsidR="00063398">
              <w:rPr>
                <w:rFonts w:ascii="Arial" w:hAnsi="Arial" w:cs="Arial"/>
                <w:sz w:val="20"/>
                <w:szCs w:val="20"/>
                <w:lang w:val="en-US" w:eastAsia="en-GB"/>
              </w:rPr>
              <w:t>100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6E8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</w:t>
            </w:r>
            <w:r w:rsidR="007471BE">
              <w:rPr>
                <w:rFonts w:ascii="Arial" w:hAnsi="Arial" w:cs="Arial"/>
                <w:sz w:val="20"/>
                <w:szCs w:val="20"/>
                <w:lang w:val="en-US"/>
              </w:rPr>
              <w:t>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298"/>
              <w:gridCol w:w="3763"/>
            </w:tblGrid>
            <w:tr w:rsidR="00F826E8" w:rsidRPr="006B140D" w:rsidTr="00BA3ED9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12" w:space="0" w:color="C00000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F826E8" w:rsidRPr="006B140D" w:rsidRDefault="00BA3ED9" w:rsidP="00F826E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All Programs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12" w:space="0" w:color="C00000"/>
                  </w:tcBorders>
                  <w:shd w:val="clear" w:color="auto" w:fill="E6E6E6"/>
                  <w:vAlign w:val="center"/>
                </w:tcPr>
                <w:p w:rsidR="00F826E8" w:rsidRPr="006B140D" w:rsidRDefault="00BA3ED9" w:rsidP="00F826E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Business </w:t>
                  </w:r>
                  <w:r w:rsidR="00F826E8">
                    <w:rPr>
                      <w:lang w:val="en-GB"/>
                    </w:rPr>
                    <w:t>Requirement</w:t>
                  </w:r>
                </w:p>
              </w:tc>
            </w:tr>
          </w:tbl>
          <w:p w:rsidR="00F826E8" w:rsidRDefault="00F826E8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0203" w:rsidRPr="00560F1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740CD4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740CD4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740CD4" w:rsidP="007851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1, </w:t>
            </w:r>
            <w:r w:rsidR="00785115">
              <w:rPr>
                <w:rFonts w:ascii="Arial" w:hAnsi="Arial" w:cs="Arial"/>
                <w:sz w:val="20"/>
                <w:szCs w:val="20"/>
                <w:lang w:val="en-US" w:eastAsia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’ Semester</w:t>
            </w:r>
          </w:p>
        </w:tc>
      </w:tr>
      <w:tr w:rsidR="005E0203" w:rsidRPr="00883F89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40CD4" w:rsidRDefault="00740CD4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Arial" w:hAnsi="Arial" w:cs="Arial"/>
                <w:sz w:val="20"/>
                <w:szCs w:val="20"/>
                <w:lang w:val="en-US" w:eastAsia="en-GB"/>
              </w:rPr>
              <w:t>Yiota Stavrou</w:t>
            </w:r>
          </w:p>
        </w:tc>
      </w:tr>
      <w:tr w:rsidR="005E0203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87667" w:rsidRDefault="002B21D4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740CD4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1C" w:rsidRDefault="00E6351C" w:rsidP="00E6351C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E6351C">
              <w:rPr>
                <w:rFonts w:ascii="Arial" w:hAnsi="Arial"/>
                <w:sz w:val="20"/>
                <w:lang w:val="en-US"/>
              </w:rPr>
              <w:t xml:space="preserve">The course </w:t>
            </w:r>
            <w:r>
              <w:rPr>
                <w:rFonts w:ascii="Arial" w:hAnsi="Arial"/>
                <w:sz w:val="20"/>
                <w:lang w:val="en-US"/>
              </w:rPr>
              <w:t xml:space="preserve">introduces students to the basic </w:t>
            </w:r>
            <w:r w:rsidRPr="00E6351C">
              <w:rPr>
                <w:rFonts w:ascii="Arial" w:hAnsi="Arial"/>
                <w:sz w:val="20"/>
                <w:lang w:val="en-US"/>
              </w:rPr>
              <w:t xml:space="preserve">accounting principles </w:t>
            </w:r>
            <w:r>
              <w:rPr>
                <w:rFonts w:ascii="Arial" w:hAnsi="Arial"/>
                <w:sz w:val="20"/>
                <w:lang w:val="en-US"/>
              </w:rPr>
              <w:t>related</w:t>
            </w:r>
            <w:r w:rsidRPr="00E6351C">
              <w:rPr>
                <w:rFonts w:ascii="Arial" w:hAnsi="Arial"/>
                <w:sz w:val="20"/>
                <w:lang w:val="en-US"/>
              </w:rPr>
              <w:t xml:space="preserve"> to the preparation of financial reports</w:t>
            </w:r>
            <w:r>
              <w:rPr>
                <w:rFonts w:ascii="Arial" w:hAnsi="Arial"/>
                <w:sz w:val="20"/>
                <w:lang w:val="en-US"/>
              </w:rPr>
              <w:t xml:space="preserve"> and statements. T</w:t>
            </w:r>
            <w:r w:rsidRPr="00E6351C">
              <w:rPr>
                <w:rFonts w:ascii="Arial" w:hAnsi="Arial"/>
                <w:sz w:val="20"/>
                <w:lang w:val="en-US"/>
              </w:rPr>
              <w:t xml:space="preserve">he primary focus is to illuminate how accounting information is utilized in </w:t>
            </w:r>
            <w:r w:rsidR="005B2178">
              <w:rPr>
                <w:rFonts w:ascii="Arial" w:hAnsi="Arial"/>
                <w:sz w:val="20"/>
                <w:lang w:val="en-US"/>
              </w:rPr>
              <w:t xml:space="preserve">the </w:t>
            </w:r>
            <w:r>
              <w:rPr>
                <w:rFonts w:ascii="Arial" w:hAnsi="Arial"/>
                <w:sz w:val="20"/>
                <w:lang w:val="en-US"/>
              </w:rPr>
              <w:t>decision-making</w:t>
            </w:r>
            <w:r w:rsidR="005B2178">
              <w:rPr>
                <w:rFonts w:ascii="Arial" w:hAnsi="Arial"/>
                <w:sz w:val="20"/>
                <w:lang w:val="en-US"/>
              </w:rPr>
              <w:t xml:space="preserve"> process</w:t>
            </w:r>
            <w:r w:rsidRPr="00E6351C">
              <w:rPr>
                <w:rFonts w:ascii="Arial" w:hAnsi="Arial"/>
                <w:sz w:val="20"/>
                <w:lang w:val="en-US"/>
              </w:rPr>
              <w:t xml:space="preserve">. </w:t>
            </w:r>
            <w:r w:rsidR="004E1C4C">
              <w:rPr>
                <w:rFonts w:ascii="Arial" w:hAnsi="Arial"/>
                <w:sz w:val="20"/>
                <w:lang w:val="en-US"/>
              </w:rPr>
              <w:t xml:space="preserve">Students will </w:t>
            </w:r>
            <w:r w:rsidRPr="00E6351C">
              <w:rPr>
                <w:rFonts w:ascii="Arial" w:hAnsi="Arial"/>
                <w:sz w:val="20"/>
                <w:lang w:val="en-US"/>
              </w:rPr>
              <w:t>perform the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6351C">
              <w:rPr>
                <w:rFonts w:ascii="Arial" w:hAnsi="Arial"/>
                <w:sz w:val="20"/>
                <w:lang w:val="en-US"/>
              </w:rPr>
              <w:t>basic accounting functions: the recognition, valuation, measurement and recording of the most common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E6351C">
              <w:rPr>
                <w:rFonts w:ascii="Arial" w:hAnsi="Arial"/>
                <w:sz w:val="20"/>
                <w:lang w:val="en-US"/>
              </w:rPr>
              <w:t xml:space="preserve">business transactions and the preparation of </w:t>
            </w:r>
            <w:r w:rsidR="00B31D9D">
              <w:rPr>
                <w:rFonts w:ascii="Arial" w:hAnsi="Arial"/>
                <w:sz w:val="20"/>
                <w:lang w:val="en-US"/>
              </w:rPr>
              <w:t xml:space="preserve">final </w:t>
            </w:r>
            <w:r w:rsidRPr="00E6351C">
              <w:rPr>
                <w:rFonts w:ascii="Arial" w:hAnsi="Arial"/>
                <w:sz w:val="20"/>
                <w:lang w:val="en-US"/>
              </w:rPr>
              <w:t>accounting statements.</w:t>
            </w:r>
          </w:p>
          <w:p w:rsidR="0008516B" w:rsidRDefault="0008516B" w:rsidP="00E6351C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B31D9D" w:rsidRDefault="00B31D9D" w:rsidP="00E6351C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B31D9D">
              <w:rPr>
                <w:rFonts w:ascii="Arial" w:hAnsi="Arial"/>
                <w:sz w:val="20"/>
                <w:lang w:val="en-US"/>
              </w:rPr>
              <w:t>Students are expected to be able to:</w:t>
            </w:r>
          </w:p>
          <w:p w:rsidR="00E70906" w:rsidRPr="00B31D9D" w:rsidRDefault="00E70906" w:rsidP="00E6351C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AA6236" w:rsidRPr="002E70A4" w:rsidRDefault="00B31D9D" w:rsidP="006B3E8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E</w:t>
            </w:r>
            <w:r w:rsidR="00AA6236" w:rsidRPr="002E70A4">
              <w:rPr>
                <w:rFonts w:ascii="Arial" w:hAnsi="Arial"/>
                <w:sz w:val="20"/>
                <w:lang w:val="en-US"/>
              </w:rPr>
              <w:t>xplain the context and purpose of financial reporting.</w:t>
            </w:r>
          </w:p>
          <w:p w:rsidR="00AA6236" w:rsidRPr="002E70A4" w:rsidRDefault="00B31D9D" w:rsidP="006B3E8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</w:t>
            </w:r>
            <w:r w:rsidR="00AA6236" w:rsidRPr="002E70A4">
              <w:rPr>
                <w:rFonts w:ascii="Arial" w:hAnsi="Arial"/>
                <w:sz w:val="20"/>
                <w:lang w:val="en-US"/>
              </w:rPr>
              <w:t>efine the qualitative characteristics of financial information and the fundamental bases of accounting.</w:t>
            </w:r>
          </w:p>
          <w:p w:rsidR="00AA6236" w:rsidRPr="002E70A4" w:rsidRDefault="00B31D9D" w:rsidP="006B3E8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</w:t>
            </w:r>
            <w:r w:rsidR="00AA6236" w:rsidRPr="002E70A4">
              <w:rPr>
                <w:rFonts w:ascii="Arial" w:hAnsi="Arial"/>
                <w:sz w:val="20"/>
                <w:lang w:val="en-US"/>
              </w:rPr>
              <w:t>emonstrate the use of double-entry and accounting systems.</w:t>
            </w:r>
          </w:p>
          <w:p w:rsidR="00AA6236" w:rsidRPr="002E70A4" w:rsidRDefault="00B31D9D" w:rsidP="006B3E8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</w:t>
            </w:r>
            <w:r w:rsidR="00AA6236" w:rsidRPr="002E70A4">
              <w:rPr>
                <w:rFonts w:ascii="Arial" w:hAnsi="Arial"/>
                <w:sz w:val="20"/>
                <w:lang w:val="en-US"/>
              </w:rPr>
              <w:t>ecord transactions and events</w:t>
            </w:r>
            <w:r w:rsidR="00AA6236">
              <w:rPr>
                <w:rFonts w:ascii="Arial" w:hAnsi="Arial"/>
                <w:sz w:val="20"/>
                <w:lang w:val="en-US"/>
              </w:rPr>
              <w:t>.</w:t>
            </w:r>
          </w:p>
          <w:p w:rsidR="005E0203" w:rsidRDefault="00B31D9D" w:rsidP="006B3E87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</w:t>
            </w:r>
            <w:r w:rsidR="00AA6236" w:rsidRPr="002E70A4">
              <w:rPr>
                <w:rFonts w:ascii="Arial" w:hAnsi="Arial"/>
                <w:sz w:val="20"/>
                <w:lang w:val="en-US"/>
              </w:rPr>
              <w:t>pply accounting principles to the solution of relevant problems.</w:t>
            </w:r>
          </w:p>
          <w:p w:rsidR="00726DA8" w:rsidRDefault="00726DA8" w:rsidP="00726DA8">
            <w:pPr>
              <w:spacing w:before="120" w:after="120"/>
              <w:ind w:left="374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726DA8" w:rsidRDefault="00726DA8" w:rsidP="00726DA8">
            <w:pPr>
              <w:spacing w:before="120" w:after="120"/>
              <w:ind w:left="374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726DA8" w:rsidRDefault="00726DA8" w:rsidP="00726DA8">
            <w:pPr>
              <w:spacing w:before="120" w:after="120"/>
              <w:ind w:left="374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726DA8" w:rsidRPr="00AA6236" w:rsidRDefault="00726DA8" w:rsidP="00726DA8">
            <w:pPr>
              <w:spacing w:before="120" w:after="120"/>
              <w:ind w:left="374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5E0203" w:rsidRPr="00883F89" w:rsidTr="00925BFE">
        <w:trPr>
          <w:trHeight w:val="4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Default="005E0203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925BFE">
              <w:rPr>
                <w:lang w:eastAsia="en-US"/>
              </w:rPr>
              <w:t>:</w:t>
            </w:r>
          </w:p>
          <w:p w:rsidR="008B3D36" w:rsidRDefault="00925BFE" w:rsidP="006B3E87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Understand the context and purpose of financial </w:t>
            </w:r>
            <w:r w:rsidR="00B31D9D">
              <w:rPr>
                <w:lang w:eastAsia="en-US"/>
              </w:rPr>
              <w:t>r</w:t>
            </w:r>
            <w:r>
              <w:rPr>
                <w:lang w:eastAsia="en-US"/>
              </w:rPr>
              <w:t>eporting with the use of regulatory framework.</w:t>
            </w:r>
          </w:p>
          <w:p w:rsidR="00B31D9D" w:rsidRDefault="00B31D9D" w:rsidP="006B3E87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Develop financial statements following the regulatory framework.</w:t>
            </w:r>
          </w:p>
          <w:p w:rsidR="00925BFE" w:rsidRDefault="00925BFE" w:rsidP="006B3E87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Identify the accounting fundamentals and its characteristics.</w:t>
            </w:r>
          </w:p>
          <w:p w:rsidR="00925BFE" w:rsidRDefault="00925BFE" w:rsidP="006B3E87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Develop an ability to correctly use the double entry and accounting systems.</w:t>
            </w:r>
          </w:p>
          <w:p w:rsidR="00925BFE" w:rsidRDefault="00925BFE" w:rsidP="006B3E87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Introduce the basic principles of recording transactions and events.</w:t>
            </w:r>
          </w:p>
          <w:p w:rsidR="00925BFE" w:rsidRDefault="00925BFE" w:rsidP="006B3E87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Prepare accounts in clear metrological manner.</w:t>
            </w:r>
          </w:p>
          <w:p w:rsidR="00925BFE" w:rsidRDefault="00925BFE" w:rsidP="006B3E87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Adopt and apply accounting principles. </w:t>
            </w:r>
          </w:p>
          <w:p w:rsidR="004E1C4C" w:rsidRPr="001F2B3A" w:rsidRDefault="004E1C4C" w:rsidP="004E1C4C">
            <w:pPr>
              <w:pStyle w:val="SelfStudyBullets"/>
              <w:numPr>
                <w:ilvl w:val="0"/>
                <w:numId w:val="0"/>
              </w:numPr>
              <w:spacing w:before="240"/>
              <w:ind w:left="720"/>
              <w:rPr>
                <w:lang w:eastAsia="en-US"/>
              </w:rPr>
            </w:pPr>
          </w:p>
        </w:tc>
      </w:tr>
      <w:tr w:rsidR="005E0203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B140D" w:rsidRDefault="00063398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236" w:rsidRPr="00AA6236" w:rsidRDefault="00AA6236" w:rsidP="00AA623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context and purpose of </w:t>
            </w:r>
            <w:r w:rsidR="00785115">
              <w:rPr>
                <w:rFonts w:ascii="Arial" w:hAnsi="Arial" w:cs="Arial"/>
                <w:bCs/>
                <w:sz w:val="20"/>
                <w:szCs w:val="20"/>
                <w:lang w:val="en-US"/>
              </w:rPr>
              <w:t>financial r</w:t>
            </w: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eporting</w:t>
            </w:r>
            <w:r w:rsidR="0008516B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  <w:p w:rsidR="00AA6236" w:rsidRPr="00AA6236" w:rsidRDefault="00785115" w:rsidP="006B3E87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Introduction to a</w:t>
            </w:r>
            <w:r w:rsidR="00AA6236"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ccounting</w:t>
            </w:r>
          </w:p>
          <w:p w:rsidR="00AA6236" w:rsidRPr="00AA6236" w:rsidRDefault="00AA6236" w:rsidP="006B3E87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regulatory framework</w:t>
            </w:r>
          </w:p>
          <w:p w:rsidR="00AA6236" w:rsidRPr="00AA6236" w:rsidRDefault="00AA6236" w:rsidP="00AA623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Characteristics of financial info. and the fundamental bases of accounting</w:t>
            </w:r>
          </w:p>
          <w:p w:rsidR="00AA6236" w:rsidRPr="00AA6236" w:rsidRDefault="00AA6236" w:rsidP="006B3E8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Accounting conventions</w:t>
            </w:r>
          </w:p>
          <w:p w:rsidR="00AA6236" w:rsidRPr="00AA6236" w:rsidRDefault="00AA6236" w:rsidP="00AA623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use of double entry and accounting systems</w:t>
            </w:r>
          </w:p>
          <w:p w:rsidR="00AA6236" w:rsidRPr="00AA6236" w:rsidRDefault="00AA6236" w:rsidP="006B3E8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Sources, records and books of prime entry</w:t>
            </w:r>
          </w:p>
          <w:p w:rsidR="00AA6236" w:rsidRDefault="00AA6236" w:rsidP="006B3E8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Ledger accounts and double entry</w:t>
            </w:r>
          </w:p>
          <w:p w:rsidR="00B31D9D" w:rsidRPr="00AA6236" w:rsidRDefault="00B31D9D" w:rsidP="00B31D9D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Trial balance</w:t>
            </w:r>
          </w:p>
          <w:p w:rsidR="00221CBC" w:rsidRDefault="00221CBC" w:rsidP="00B31D9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Balancing of the accounts </w:t>
            </w:r>
          </w:p>
          <w:p w:rsidR="00221CBC" w:rsidRPr="00221CBC" w:rsidRDefault="00221CBC" w:rsidP="00221CBC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21CB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Trial balance </w:t>
            </w:r>
          </w:p>
          <w:p w:rsidR="00AA6236" w:rsidRDefault="00221CBC" w:rsidP="00B31D9D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Introduction to f</w:t>
            </w:r>
            <w:r w:rsidR="00AA6236"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inancial statements</w:t>
            </w:r>
          </w:p>
          <w:p w:rsidR="00B31D9D" w:rsidRDefault="00B31D9D" w:rsidP="00B31D9D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Statement of financial position</w:t>
            </w:r>
          </w:p>
          <w:p w:rsidR="00B31D9D" w:rsidRPr="00B31D9D" w:rsidRDefault="00B31D9D" w:rsidP="00B31D9D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31D9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Income statement / </w:t>
            </w:r>
            <w:r w:rsidR="00221CB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trading / </w:t>
            </w:r>
            <w:r w:rsidRPr="00B31D9D">
              <w:rPr>
                <w:rFonts w:ascii="Arial" w:hAnsi="Arial" w:cs="Arial"/>
                <w:bCs/>
                <w:sz w:val="20"/>
                <w:szCs w:val="20"/>
                <w:lang w:val="en-US"/>
              </w:rPr>
              <w:t>P &amp; L</w:t>
            </w:r>
          </w:p>
          <w:p w:rsidR="00AA6236" w:rsidRPr="00AA6236" w:rsidRDefault="00AA6236" w:rsidP="00AA623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Recording transactions and events</w:t>
            </w:r>
          </w:p>
          <w:p w:rsidR="00AA6236" w:rsidRPr="00AA6236" w:rsidRDefault="00AA6236" w:rsidP="006B3E87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Inventory</w:t>
            </w:r>
          </w:p>
          <w:p w:rsidR="00AA6236" w:rsidRPr="00AA6236" w:rsidRDefault="00AA6236" w:rsidP="006B3E87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Tangible non-current assets</w:t>
            </w:r>
          </w:p>
          <w:p w:rsidR="00D24EB4" w:rsidRDefault="00AA6236" w:rsidP="006B3E87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6236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Intangible non-current assets</w:t>
            </w:r>
          </w:p>
          <w:p w:rsidR="00B31D9D" w:rsidRPr="00726DA8" w:rsidRDefault="00B31D9D" w:rsidP="00B31D9D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26DA8">
              <w:rPr>
                <w:rFonts w:ascii="Arial" w:hAnsi="Arial" w:cs="Arial"/>
                <w:bCs/>
                <w:sz w:val="20"/>
                <w:szCs w:val="20"/>
                <w:lang w:val="en-US"/>
              </w:rPr>
              <w:t>Depreciation</w:t>
            </w:r>
          </w:p>
          <w:p w:rsidR="00FE13CF" w:rsidRPr="00726DA8" w:rsidRDefault="00FE13CF" w:rsidP="00FE13CF">
            <w:pPr>
              <w:numPr>
                <w:ilvl w:val="0"/>
                <w:numId w:val="2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26DA8">
              <w:rPr>
                <w:rFonts w:ascii="Arial" w:hAnsi="Arial" w:cs="Arial"/>
                <w:bCs/>
                <w:sz w:val="20"/>
                <w:szCs w:val="20"/>
                <w:lang w:val="en-US"/>
              </w:rPr>
              <w:t>Depreciation of Fixed Assets</w:t>
            </w:r>
          </w:p>
          <w:p w:rsidR="00B31D9D" w:rsidRPr="00AA6236" w:rsidRDefault="00B31D9D" w:rsidP="00B31D9D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2D5FAF" w:rsidP="009F711F">
            <w:pPr>
              <w:pStyle w:val="SelfStudyText"/>
              <w:rPr>
                <w:lang w:val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9F711F">
              <w:rPr>
                <w:rFonts w:cs="Arial"/>
                <w:szCs w:val="20"/>
                <w:lang w:val="en-US" w:eastAsia="en-US"/>
              </w:rPr>
              <w:t>demonstrations, and group discussions.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883F89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E9F" w:rsidRPr="00726DA8" w:rsidRDefault="00B005E4" w:rsidP="0008516B">
            <w:pPr>
              <w:numPr>
                <w:ilvl w:val="0"/>
                <w:numId w:val="17"/>
              </w:num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726DA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Sangster A., Wood F., Frank W</w:t>
            </w:r>
            <w:r w:rsidR="0008516B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ood’s B</w:t>
            </w:r>
            <w:r w:rsidRPr="00726DA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usiness </w:t>
            </w:r>
            <w:r w:rsidR="0008516B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</w:t>
            </w:r>
            <w:r w:rsidRPr="00726DA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ccounting volume 1, Pearson Education, 14</w:t>
            </w:r>
            <w:r w:rsidRPr="00726DA8">
              <w:rPr>
                <w:rFonts w:ascii="Arial" w:eastAsia="Calibri" w:hAnsi="Arial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726DA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ed., 2018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883F89" w:rsidTr="0008516B">
        <w:trPr>
          <w:trHeight w:val="95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404409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4409" w:rsidRPr="00105933" w:rsidRDefault="00625E99" w:rsidP="0008516B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5E99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>Shields, G. (2017). Accounting: An Essential Guide to Learning Accounting Quickly. UK, London: CreateSpace Independent Publishing Platform.</w:t>
            </w:r>
          </w:p>
        </w:tc>
      </w:tr>
      <w:tr w:rsidR="005E0203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E70906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P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RPr="0022716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6F" w:rsidRDefault="0005136F">
      <w:r>
        <w:separator/>
      </w:r>
    </w:p>
  </w:endnote>
  <w:endnote w:type="continuationSeparator" w:id="0">
    <w:p w:rsidR="0005136F" w:rsidRDefault="0005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08516B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A53DA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53E34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6F" w:rsidRDefault="0005136F">
      <w:r>
        <w:separator/>
      </w:r>
    </w:p>
  </w:footnote>
  <w:footnote w:type="continuationSeparator" w:id="0">
    <w:p w:rsidR="0005136F" w:rsidRDefault="0005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08516B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28216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E0B98"/>
    <w:multiLevelType w:val="hybridMultilevel"/>
    <w:tmpl w:val="C61E015A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4FF6"/>
    <w:multiLevelType w:val="hybridMultilevel"/>
    <w:tmpl w:val="B960448E"/>
    <w:lvl w:ilvl="0" w:tplc="0408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3FC2B0C"/>
    <w:multiLevelType w:val="hybridMultilevel"/>
    <w:tmpl w:val="44889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23769AC"/>
    <w:multiLevelType w:val="hybridMultilevel"/>
    <w:tmpl w:val="4F44707A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942227D"/>
    <w:multiLevelType w:val="hybridMultilevel"/>
    <w:tmpl w:val="8F48358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56070832"/>
    <w:multiLevelType w:val="hybridMultilevel"/>
    <w:tmpl w:val="52A87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22F64CF"/>
    <w:multiLevelType w:val="hybridMultilevel"/>
    <w:tmpl w:val="516E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270F2"/>
    <w:multiLevelType w:val="hybridMultilevel"/>
    <w:tmpl w:val="903A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8270C"/>
    <w:multiLevelType w:val="hybridMultilevel"/>
    <w:tmpl w:val="31E6B494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18"/>
  </w:num>
  <w:num w:numId="17">
    <w:abstractNumId w:val="19"/>
  </w:num>
  <w:num w:numId="18">
    <w:abstractNumId w:val="15"/>
  </w:num>
  <w:num w:numId="19">
    <w:abstractNumId w:val="20"/>
  </w:num>
  <w:num w:numId="20">
    <w:abstractNumId w:val="4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36F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8516B"/>
    <w:rsid w:val="0009077F"/>
    <w:rsid w:val="000957CA"/>
    <w:rsid w:val="00095A23"/>
    <w:rsid w:val="000A0035"/>
    <w:rsid w:val="000A02F9"/>
    <w:rsid w:val="000A0BF1"/>
    <w:rsid w:val="000A7F53"/>
    <w:rsid w:val="000B021B"/>
    <w:rsid w:val="000C755D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0F4B07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E136A"/>
    <w:rsid w:val="001E1BFC"/>
    <w:rsid w:val="001E37C1"/>
    <w:rsid w:val="001E3FD5"/>
    <w:rsid w:val="001E4E3F"/>
    <w:rsid w:val="001F2B3A"/>
    <w:rsid w:val="001F5C92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1CBC"/>
    <w:rsid w:val="0022716F"/>
    <w:rsid w:val="00237559"/>
    <w:rsid w:val="0024022D"/>
    <w:rsid w:val="00243589"/>
    <w:rsid w:val="00256C09"/>
    <w:rsid w:val="00261ED6"/>
    <w:rsid w:val="00262116"/>
    <w:rsid w:val="00266694"/>
    <w:rsid w:val="0026755D"/>
    <w:rsid w:val="00270E12"/>
    <w:rsid w:val="00272911"/>
    <w:rsid w:val="00274C1F"/>
    <w:rsid w:val="00277A0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604"/>
    <w:rsid w:val="002E7F15"/>
    <w:rsid w:val="002F32BA"/>
    <w:rsid w:val="002F3566"/>
    <w:rsid w:val="002F5212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D0A0E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30690"/>
    <w:rsid w:val="00442388"/>
    <w:rsid w:val="0044293D"/>
    <w:rsid w:val="00443EDE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1C4C"/>
    <w:rsid w:val="004E37AA"/>
    <w:rsid w:val="004E3E68"/>
    <w:rsid w:val="004F2AA6"/>
    <w:rsid w:val="00503C29"/>
    <w:rsid w:val="005046F3"/>
    <w:rsid w:val="00513094"/>
    <w:rsid w:val="005165B6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6D63"/>
    <w:rsid w:val="005A7646"/>
    <w:rsid w:val="005B2178"/>
    <w:rsid w:val="005B3F16"/>
    <w:rsid w:val="005B4395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5E99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B3E87"/>
    <w:rsid w:val="006C3D37"/>
    <w:rsid w:val="006C6778"/>
    <w:rsid w:val="006D4523"/>
    <w:rsid w:val="006D4C7D"/>
    <w:rsid w:val="006E26F6"/>
    <w:rsid w:val="006E790A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26DA8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208E9"/>
    <w:rsid w:val="008225F2"/>
    <w:rsid w:val="0082727D"/>
    <w:rsid w:val="00832959"/>
    <w:rsid w:val="008330C8"/>
    <w:rsid w:val="00836A30"/>
    <w:rsid w:val="00840B4B"/>
    <w:rsid w:val="00846B9B"/>
    <w:rsid w:val="0085466C"/>
    <w:rsid w:val="00862504"/>
    <w:rsid w:val="008665C1"/>
    <w:rsid w:val="00866EF3"/>
    <w:rsid w:val="00871FB2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5BFE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CCA"/>
    <w:rsid w:val="009E1D78"/>
    <w:rsid w:val="009E4265"/>
    <w:rsid w:val="009E641F"/>
    <w:rsid w:val="009F3C77"/>
    <w:rsid w:val="009F4BF8"/>
    <w:rsid w:val="009F711F"/>
    <w:rsid w:val="00A0288C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F13"/>
    <w:rsid w:val="00AF6688"/>
    <w:rsid w:val="00B005E4"/>
    <w:rsid w:val="00B0704E"/>
    <w:rsid w:val="00B2025D"/>
    <w:rsid w:val="00B22AEF"/>
    <w:rsid w:val="00B238AA"/>
    <w:rsid w:val="00B30D77"/>
    <w:rsid w:val="00B31D9D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018B"/>
    <w:rsid w:val="00BA2DC5"/>
    <w:rsid w:val="00BA3ED9"/>
    <w:rsid w:val="00BA607B"/>
    <w:rsid w:val="00BB4B86"/>
    <w:rsid w:val="00BB5172"/>
    <w:rsid w:val="00BC2A6B"/>
    <w:rsid w:val="00BC4082"/>
    <w:rsid w:val="00BD08D2"/>
    <w:rsid w:val="00BE3211"/>
    <w:rsid w:val="00BE56C4"/>
    <w:rsid w:val="00BF3A98"/>
    <w:rsid w:val="00BF5782"/>
    <w:rsid w:val="00C03B3E"/>
    <w:rsid w:val="00C115CF"/>
    <w:rsid w:val="00C13A15"/>
    <w:rsid w:val="00C168E0"/>
    <w:rsid w:val="00C2038F"/>
    <w:rsid w:val="00C22A37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351C"/>
    <w:rsid w:val="00E6490C"/>
    <w:rsid w:val="00E64C8C"/>
    <w:rsid w:val="00E70906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2E9F"/>
    <w:rsid w:val="00EC3D49"/>
    <w:rsid w:val="00EC43F3"/>
    <w:rsid w:val="00EC4B67"/>
    <w:rsid w:val="00ED3F1C"/>
    <w:rsid w:val="00ED614E"/>
    <w:rsid w:val="00EF0546"/>
    <w:rsid w:val="00EF07D2"/>
    <w:rsid w:val="00EF3717"/>
    <w:rsid w:val="00F00450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214C"/>
    <w:rsid w:val="00F826E8"/>
    <w:rsid w:val="00F900EF"/>
    <w:rsid w:val="00F90CE5"/>
    <w:rsid w:val="00F92715"/>
    <w:rsid w:val="00FA14D1"/>
    <w:rsid w:val="00FA1A1D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13CF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78F1D85B"/>
  <w15:chartTrackingRefBased/>
  <w15:docId w15:val="{E1CA6214-F0BE-4FEE-B3ED-CCB070AC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1416-8556-497E-B1E0-E998F03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2</cp:revision>
  <cp:lastPrinted>2011-12-13T13:26:00Z</cp:lastPrinted>
  <dcterms:created xsi:type="dcterms:W3CDTF">2018-03-20T07:41:00Z</dcterms:created>
  <dcterms:modified xsi:type="dcterms:W3CDTF">2018-03-20T07:41:00Z</dcterms:modified>
</cp:coreProperties>
</file>