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534E2F" w:rsidP="00493B2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Marketing for Hospitality &amp; Tourism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534E2F" w:rsidP="00493B2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TTOU-110</w:t>
            </w:r>
          </w:p>
        </w:tc>
      </w:tr>
      <w:tr w:rsidR="00B22564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564" w:rsidRPr="006B140D" w:rsidRDefault="00B22564" w:rsidP="00B2256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564" w:rsidRDefault="00B22564" w:rsidP="00B22564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771"/>
              <w:gridCol w:w="2290"/>
            </w:tblGrid>
            <w:tr w:rsidR="00B22564" w:rsidRPr="006B140D" w:rsidTr="00426A61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B22564" w:rsidRPr="006B140D" w:rsidRDefault="00B22564" w:rsidP="00B22564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Hospitality </w:t>
                  </w:r>
                  <w:r w:rsidRPr="006B140D">
                    <w:rPr>
                      <w:lang w:val="en-GB"/>
                    </w:rPr>
                    <w:t>Diploma</w:t>
                  </w:r>
                  <w:r>
                    <w:rPr>
                      <w:lang w:val="en-GB"/>
                    </w:rPr>
                    <w:t>/Bachelor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B22564" w:rsidRPr="006B140D" w:rsidRDefault="00B22564" w:rsidP="00B22564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B22564" w:rsidRPr="006B140D" w:rsidTr="00426A61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B22564" w:rsidRPr="006B140D" w:rsidRDefault="00B22564" w:rsidP="00B22564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 xml:space="preserve">All Programs </w:t>
                  </w:r>
                  <w:r w:rsidRPr="00513094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B22564" w:rsidRPr="006B140D" w:rsidRDefault="00B22564" w:rsidP="00B22564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>General Elective</w:t>
                  </w:r>
                </w:p>
              </w:tc>
            </w:tr>
          </w:tbl>
          <w:p w:rsidR="00B22564" w:rsidRDefault="00B22564" w:rsidP="00B2256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B22564" w:rsidRDefault="00B22564" w:rsidP="00B2256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B22564" w:rsidRDefault="00B22564" w:rsidP="00B2256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B22564" w:rsidRPr="00560F13" w:rsidRDefault="00B22564" w:rsidP="00B2256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B22564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564" w:rsidRPr="006B140D" w:rsidRDefault="00B22564" w:rsidP="00B2256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564" w:rsidRPr="003702D5" w:rsidRDefault="00B22564" w:rsidP="00B22564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79686F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B22564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564" w:rsidRPr="006B140D" w:rsidRDefault="00B22564" w:rsidP="00B2256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564" w:rsidRPr="00274C1F" w:rsidRDefault="00B22564" w:rsidP="00B2256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Year 1, B’ Semester</w:t>
            </w:r>
          </w:p>
        </w:tc>
      </w:tr>
      <w:tr w:rsidR="005E0203" w:rsidRPr="00883F89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40CD4" w:rsidRDefault="00493B2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Kyrillos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Nocilaou</w:t>
            </w:r>
            <w:proofErr w:type="spellEnd"/>
          </w:p>
        </w:tc>
      </w:tr>
      <w:tr w:rsidR="005E0203" w:rsidRPr="00883F89" w:rsidTr="00687667">
        <w:trPr>
          <w:trHeight w:val="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87667" w:rsidRDefault="00B22119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740CD4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740CD4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6B30CE" w:rsidTr="00925BFE">
        <w:trPr>
          <w:trHeight w:val="2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35" w:rsidRPr="001F5E37" w:rsidRDefault="003D3F35" w:rsidP="003D3F35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534E2F" w:rsidRPr="00534E2F" w:rsidRDefault="00534E2F" w:rsidP="00534E2F">
            <w:p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 w:rsidRPr="00534E2F">
              <w:rPr>
                <w:rFonts w:ascii="Arial" w:hAnsi="Arial"/>
                <w:sz w:val="20"/>
                <w:lang w:val="en-GB"/>
              </w:rPr>
              <w:t xml:space="preserve">The </w:t>
            </w:r>
            <w:r>
              <w:rPr>
                <w:rFonts w:ascii="Arial" w:hAnsi="Arial"/>
                <w:sz w:val="20"/>
                <w:lang w:val="en-GB"/>
              </w:rPr>
              <w:t>purpose of the course is to assist students in developing an und</w:t>
            </w:r>
            <w:r w:rsidRPr="00534E2F">
              <w:rPr>
                <w:rFonts w:ascii="Arial" w:hAnsi="Arial"/>
                <w:sz w:val="20"/>
                <w:lang w:val="en-GB"/>
              </w:rPr>
              <w:t>erstanding of the key concepts and principles of marketing</w:t>
            </w:r>
            <w:r>
              <w:rPr>
                <w:rFonts w:ascii="Arial" w:hAnsi="Arial"/>
                <w:sz w:val="20"/>
                <w:lang w:val="en-GB"/>
              </w:rPr>
              <w:t xml:space="preserve">. Students will </w:t>
            </w:r>
            <w:r w:rsidRPr="00534E2F">
              <w:rPr>
                <w:rFonts w:ascii="Arial" w:hAnsi="Arial"/>
                <w:sz w:val="20"/>
                <w:lang w:val="en-GB"/>
              </w:rPr>
              <w:t>comprehensive</w:t>
            </w:r>
            <w:r>
              <w:rPr>
                <w:rFonts w:ascii="Arial" w:hAnsi="Arial"/>
                <w:sz w:val="20"/>
                <w:lang w:val="en-GB"/>
              </w:rPr>
              <w:t>ly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 review </w:t>
            </w:r>
            <w:r>
              <w:rPr>
                <w:rFonts w:ascii="Arial" w:hAnsi="Arial"/>
                <w:sz w:val="20"/>
                <w:lang w:val="en-GB"/>
              </w:rPr>
              <w:t xml:space="preserve">the functions </w:t>
            </w:r>
            <w:r w:rsidRPr="00534E2F">
              <w:rPr>
                <w:rFonts w:ascii="Arial" w:hAnsi="Arial"/>
                <w:sz w:val="20"/>
                <w:lang w:val="en-GB"/>
              </w:rPr>
              <w:t>of marketing in the hospitality</w:t>
            </w:r>
            <w:r>
              <w:rPr>
                <w:rFonts w:ascii="Arial" w:hAnsi="Arial"/>
                <w:sz w:val="20"/>
                <w:lang w:val="en-GB"/>
              </w:rPr>
              <w:t xml:space="preserve"> and tourism industry 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based upon </w:t>
            </w:r>
            <w:r w:rsidR="000D1862">
              <w:rPr>
                <w:rFonts w:ascii="Arial" w:hAnsi="Arial"/>
                <w:sz w:val="20"/>
                <w:lang w:val="en-GB"/>
              </w:rPr>
              <w:t>marketing strategy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. </w:t>
            </w:r>
            <w:r w:rsidR="00E52E4F">
              <w:rPr>
                <w:rFonts w:ascii="Arial" w:hAnsi="Arial"/>
                <w:sz w:val="20"/>
                <w:lang w:val="en-GB"/>
              </w:rPr>
              <w:t xml:space="preserve">The course aims 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to create </w:t>
            </w:r>
            <w:r w:rsidR="00802DCB">
              <w:rPr>
                <w:rFonts w:ascii="Arial" w:hAnsi="Arial"/>
                <w:sz w:val="20"/>
                <w:lang w:val="en-GB"/>
              </w:rPr>
              <w:t>an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 awareness of the challenges </w:t>
            </w:r>
            <w:r w:rsidR="00AB0B26">
              <w:rPr>
                <w:rFonts w:ascii="Arial" w:hAnsi="Arial"/>
                <w:sz w:val="20"/>
                <w:lang w:val="en-GB"/>
              </w:rPr>
              <w:t>that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 manager</w:t>
            </w:r>
            <w:r w:rsidR="00AB0B26">
              <w:rPr>
                <w:rFonts w:ascii="Arial" w:hAnsi="Arial"/>
                <w:sz w:val="20"/>
                <w:lang w:val="en-GB"/>
              </w:rPr>
              <w:t>s’ face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 in </w:t>
            </w:r>
            <w:r w:rsidR="00AB0B26">
              <w:rPr>
                <w:rFonts w:ascii="Arial" w:hAnsi="Arial"/>
                <w:sz w:val="20"/>
                <w:lang w:val="en-GB"/>
              </w:rPr>
              <w:t>a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 competitive and</w:t>
            </w:r>
            <w:r w:rsidR="00AB0B26">
              <w:rPr>
                <w:rFonts w:ascii="Arial" w:hAnsi="Arial"/>
                <w:sz w:val="20"/>
                <w:lang w:val="en-GB"/>
              </w:rPr>
              <w:t xml:space="preserve"> changing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 </w:t>
            </w:r>
            <w:r w:rsidR="000D1862">
              <w:rPr>
                <w:rFonts w:ascii="Arial" w:hAnsi="Arial"/>
                <w:sz w:val="20"/>
                <w:lang w:val="en-GB"/>
              </w:rPr>
              <w:t>s</w:t>
            </w:r>
            <w:r w:rsidRPr="00534E2F">
              <w:rPr>
                <w:rFonts w:ascii="Arial" w:hAnsi="Arial"/>
                <w:sz w:val="20"/>
                <w:lang w:val="en-GB"/>
              </w:rPr>
              <w:t>ector.</w:t>
            </w:r>
            <w:r w:rsidR="00E52E4F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534E2F">
              <w:rPr>
                <w:rFonts w:ascii="Arial" w:hAnsi="Arial"/>
                <w:sz w:val="20"/>
                <w:lang w:val="en-GB"/>
              </w:rPr>
              <w:t xml:space="preserve">Students will identify best practices in marketing, </w:t>
            </w:r>
            <w:proofErr w:type="spellStart"/>
            <w:r w:rsidRPr="00534E2F">
              <w:rPr>
                <w:rFonts w:ascii="Arial" w:hAnsi="Arial"/>
                <w:sz w:val="20"/>
                <w:lang w:val="en-GB"/>
              </w:rPr>
              <w:t>analyze</w:t>
            </w:r>
            <w:proofErr w:type="spellEnd"/>
            <w:r w:rsidRPr="00534E2F">
              <w:rPr>
                <w:rFonts w:ascii="Arial" w:hAnsi="Arial"/>
                <w:sz w:val="20"/>
                <w:lang w:val="en-GB"/>
              </w:rPr>
              <w:t xml:space="preserve"> the market, and assess consumer </w:t>
            </w:r>
            <w:proofErr w:type="spellStart"/>
            <w:r w:rsidRPr="00534E2F">
              <w:rPr>
                <w:rFonts w:ascii="Arial" w:hAnsi="Arial"/>
                <w:sz w:val="20"/>
                <w:lang w:val="en-GB"/>
              </w:rPr>
              <w:t>behavior</w:t>
            </w:r>
            <w:proofErr w:type="spellEnd"/>
            <w:r w:rsidRPr="00534E2F">
              <w:rPr>
                <w:rFonts w:ascii="Arial" w:hAnsi="Arial"/>
                <w:sz w:val="20"/>
                <w:lang w:val="en-GB"/>
              </w:rPr>
              <w:t>, offerings, price, and promotion strategies.</w:t>
            </w:r>
          </w:p>
          <w:p w:rsidR="00E52E4F" w:rsidRDefault="00E52E4F" w:rsidP="003D3F35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3D3F35" w:rsidRDefault="00493B23" w:rsidP="003D3F35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Students are expected to:</w:t>
            </w:r>
          </w:p>
          <w:p w:rsidR="00493B23" w:rsidRPr="00493B23" w:rsidRDefault="00493B23" w:rsidP="003D3F35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AC188C" w:rsidRDefault="00AC188C" w:rsidP="00AC188C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Understand marketing concepts and theories in the hospitality and tourism industry</w:t>
            </w:r>
          </w:p>
          <w:p w:rsidR="00AC188C" w:rsidRPr="00AC188C" w:rsidRDefault="00AC188C" w:rsidP="00AC188C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 w:rsidRPr="00AC188C">
              <w:rPr>
                <w:rFonts w:ascii="Arial" w:hAnsi="Arial"/>
                <w:sz w:val="20"/>
                <w:lang w:val="en-GB"/>
              </w:rPr>
              <w:t xml:space="preserve">Explain how changes in the demographic and economic environments affect marketing </w:t>
            </w:r>
          </w:p>
          <w:p w:rsidR="00AC188C" w:rsidRPr="00AC188C" w:rsidRDefault="00AC188C" w:rsidP="00AC188C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 w:rsidRPr="00AC188C">
              <w:rPr>
                <w:rFonts w:ascii="Arial" w:hAnsi="Arial"/>
                <w:sz w:val="20"/>
                <w:lang w:val="en-GB"/>
              </w:rPr>
              <w:t xml:space="preserve">Interpret product oriented or customer-oriented marketing </w:t>
            </w:r>
          </w:p>
          <w:p w:rsidR="00AC188C" w:rsidRDefault="00D86FF8" w:rsidP="00AC188C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 w:rsidRPr="00AC188C">
              <w:rPr>
                <w:rFonts w:ascii="Arial" w:hAnsi="Arial"/>
                <w:sz w:val="20"/>
                <w:lang w:val="en-GB"/>
              </w:rPr>
              <w:t>Analyse</w:t>
            </w:r>
            <w:r w:rsidR="00AC188C" w:rsidRPr="00AC188C">
              <w:rPr>
                <w:rFonts w:ascii="Arial" w:hAnsi="Arial"/>
                <w:sz w:val="20"/>
                <w:lang w:val="en-GB"/>
              </w:rPr>
              <w:t xml:space="preserve"> the effectiveness of the market segmentation strategy </w:t>
            </w:r>
          </w:p>
          <w:p w:rsidR="00BB049B" w:rsidRDefault="00BB049B" w:rsidP="00AC188C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Understand the impact and the drivers of e-</w:t>
            </w:r>
            <w:r w:rsidR="000D1862">
              <w:rPr>
                <w:rFonts w:ascii="Arial" w:hAnsi="Arial"/>
                <w:sz w:val="20"/>
                <w:lang w:val="en-GB"/>
              </w:rPr>
              <w:t>m</w:t>
            </w:r>
            <w:r>
              <w:rPr>
                <w:rFonts w:ascii="Arial" w:hAnsi="Arial"/>
                <w:sz w:val="20"/>
                <w:lang w:val="en-GB"/>
              </w:rPr>
              <w:t>arketing</w:t>
            </w:r>
          </w:p>
          <w:p w:rsidR="00AC188C" w:rsidRPr="00AC188C" w:rsidRDefault="00AC188C" w:rsidP="00AC188C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 w:rsidRPr="00AC188C">
              <w:rPr>
                <w:rFonts w:ascii="Arial" w:hAnsi="Arial"/>
                <w:sz w:val="20"/>
                <w:lang w:val="en-GB"/>
              </w:rPr>
              <w:t xml:space="preserve">Describe service culture </w:t>
            </w:r>
            <w:r>
              <w:rPr>
                <w:rFonts w:ascii="Arial" w:hAnsi="Arial"/>
                <w:sz w:val="20"/>
                <w:lang w:val="en-GB"/>
              </w:rPr>
              <w:t>in hospitality and tourism</w:t>
            </w:r>
            <w:r w:rsidRPr="00AC188C">
              <w:rPr>
                <w:rFonts w:ascii="Arial" w:hAnsi="Arial"/>
                <w:sz w:val="20"/>
                <w:lang w:val="en-GB"/>
              </w:rPr>
              <w:t xml:space="preserve"> business</w:t>
            </w:r>
            <w:r>
              <w:rPr>
                <w:rFonts w:ascii="Arial" w:hAnsi="Arial"/>
                <w:sz w:val="20"/>
                <w:lang w:val="en-GB"/>
              </w:rPr>
              <w:t>es</w:t>
            </w:r>
            <w:r w:rsidRPr="00AC188C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AC188C" w:rsidRPr="00AC188C" w:rsidRDefault="00AC188C" w:rsidP="00AC188C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 w:rsidRPr="00AC188C">
              <w:rPr>
                <w:rFonts w:ascii="Arial" w:hAnsi="Arial"/>
                <w:sz w:val="20"/>
                <w:lang w:val="en-GB"/>
              </w:rPr>
              <w:t xml:space="preserve">Evaluate internal marketing concepts that support overall marketing strategy </w:t>
            </w:r>
          </w:p>
          <w:p w:rsidR="005027F3" w:rsidRDefault="00AC188C" w:rsidP="00AC188C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Prepare a marketing plan for the hospitality and tourism industry</w:t>
            </w:r>
          </w:p>
          <w:p w:rsidR="005027F3" w:rsidRDefault="005027F3" w:rsidP="00B22119">
            <w:p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B22119" w:rsidRPr="00E43D14" w:rsidRDefault="00B22119" w:rsidP="005027F3">
            <w:p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5E0203" w:rsidRPr="006B30CE" w:rsidTr="009F1147">
        <w:trPr>
          <w:trHeight w:val="38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D86FF8" w:rsidRDefault="005E0203" w:rsidP="00D86FF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925BFE">
              <w:rPr>
                <w:lang w:eastAsia="en-US"/>
              </w:rPr>
              <w:t>:</w:t>
            </w:r>
          </w:p>
          <w:p w:rsidR="00D86FF8" w:rsidRDefault="00D86FF8" w:rsidP="00D86FF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D86FF8" w:rsidRPr="006B30CE" w:rsidRDefault="00D86FF8" w:rsidP="006B30CE">
            <w:pPr>
              <w:pStyle w:val="SelfStudyBullets"/>
              <w:numPr>
                <w:ilvl w:val="0"/>
                <w:numId w:val="21"/>
              </w:numPr>
              <w:rPr>
                <w:lang w:val="en-GB" w:eastAsia="en-US"/>
              </w:rPr>
            </w:pPr>
            <w:bookmarkStart w:id="0" w:name="_GoBack"/>
            <w:r w:rsidRPr="006B30CE">
              <w:rPr>
                <w:lang w:val="en-GB" w:eastAsia="en-US"/>
              </w:rPr>
              <w:t>Demonstrate an understanding of marketing concepts and theories, and their application in the hospitality and tourism experience</w:t>
            </w:r>
          </w:p>
          <w:p w:rsidR="009F1147" w:rsidRPr="006B30CE" w:rsidRDefault="00D86FF8" w:rsidP="006B30CE">
            <w:pPr>
              <w:pStyle w:val="SelfStudyBullets"/>
              <w:numPr>
                <w:ilvl w:val="0"/>
                <w:numId w:val="21"/>
              </w:numPr>
              <w:rPr>
                <w:lang w:val="en-GB" w:eastAsia="en-US"/>
              </w:rPr>
            </w:pPr>
            <w:r w:rsidRPr="006B30CE">
              <w:rPr>
                <w:lang w:val="en-GB" w:eastAsia="en-US"/>
              </w:rPr>
              <w:t xml:space="preserve">Understand the role of marketing as a management tool </w:t>
            </w:r>
          </w:p>
          <w:p w:rsidR="00D86FF8" w:rsidRPr="006B30CE" w:rsidRDefault="00D86FF8" w:rsidP="006B30CE">
            <w:pPr>
              <w:pStyle w:val="SelfStudyBullets"/>
              <w:numPr>
                <w:ilvl w:val="0"/>
                <w:numId w:val="21"/>
              </w:numPr>
              <w:rPr>
                <w:lang w:val="en-GB" w:eastAsia="en-US"/>
              </w:rPr>
            </w:pPr>
            <w:r w:rsidRPr="006B30CE">
              <w:rPr>
                <w:lang w:val="en-GB" w:eastAsia="en-US"/>
              </w:rPr>
              <w:t xml:space="preserve">Discuss the role and components of the marketing mix </w:t>
            </w:r>
          </w:p>
          <w:p w:rsidR="00D86FF8" w:rsidRPr="006B30CE" w:rsidRDefault="00D86FF8" w:rsidP="006B30CE">
            <w:pPr>
              <w:pStyle w:val="SelfStudyBullets"/>
              <w:numPr>
                <w:ilvl w:val="0"/>
                <w:numId w:val="21"/>
              </w:numPr>
              <w:rPr>
                <w:lang w:val="en-GB" w:eastAsia="en-US"/>
              </w:rPr>
            </w:pPr>
            <w:r w:rsidRPr="006B30CE">
              <w:rPr>
                <w:lang w:val="en-GB" w:eastAsia="en-US"/>
              </w:rPr>
              <w:t xml:space="preserve">Evaluate the promotional mix in </w:t>
            </w:r>
            <w:r w:rsidR="009F1147" w:rsidRPr="006B30CE">
              <w:rPr>
                <w:lang w:val="en-GB" w:eastAsia="en-US"/>
              </w:rPr>
              <w:t>hospitality</w:t>
            </w:r>
            <w:r w:rsidRPr="006B30CE">
              <w:rPr>
                <w:lang w:val="en-GB" w:eastAsia="en-US"/>
              </w:rPr>
              <w:t xml:space="preserve"> and tourism</w:t>
            </w:r>
          </w:p>
          <w:p w:rsidR="00D86FF8" w:rsidRPr="006B30CE" w:rsidRDefault="00D86FF8" w:rsidP="006B30CE">
            <w:pPr>
              <w:pStyle w:val="SelfStudyBullets"/>
              <w:numPr>
                <w:ilvl w:val="0"/>
                <w:numId w:val="21"/>
              </w:numPr>
              <w:rPr>
                <w:lang w:val="en-GB" w:eastAsia="en-US"/>
              </w:rPr>
            </w:pPr>
            <w:r w:rsidRPr="006B30CE">
              <w:rPr>
                <w:lang w:val="en-GB" w:eastAsia="en-US"/>
              </w:rPr>
              <w:t>Demonstrate an evaluative understanding of current issues associated with hospitality and tourism marketing</w:t>
            </w:r>
          </w:p>
          <w:p w:rsidR="00817000" w:rsidRPr="006B30CE" w:rsidRDefault="00D86FF8" w:rsidP="006B30CE">
            <w:pPr>
              <w:pStyle w:val="SelfStudyBullets"/>
              <w:numPr>
                <w:ilvl w:val="0"/>
                <w:numId w:val="21"/>
              </w:numPr>
              <w:rPr>
                <w:lang w:val="en-GB" w:eastAsia="en-US"/>
              </w:rPr>
            </w:pPr>
            <w:r w:rsidRPr="006B30CE">
              <w:rPr>
                <w:lang w:val="en-GB" w:eastAsia="en-US"/>
              </w:rPr>
              <w:t>Develop a marketing plan</w:t>
            </w:r>
          </w:p>
          <w:p w:rsidR="00BB049B" w:rsidRPr="005027F3" w:rsidRDefault="00BB049B" w:rsidP="006B30CE">
            <w:pPr>
              <w:pStyle w:val="SelfStudyBullets"/>
              <w:numPr>
                <w:ilvl w:val="0"/>
                <w:numId w:val="21"/>
              </w:numPr>
              <w:rPr>
                <w:lang w:val="en-GB" w:eastAsia="en-US"/>
              </w:rPr>
            </w:pPr>
            <w:r w:rsidRPr="006B30CE">
              <w:rPr>
                <w:lang w:val="en-GB" w:eastAsia="en-US"/>
              </w:rPr>
              <w:t xml:space="preserve">Assess the </w:t>
            </w:r>
            <w:r w:rsidR="000D1862" w:rsidRPr="006B30CE">
              <w:rPr>
                <w:lang w:val="en-GB" w:eastAsia="en-US"/>
              </w:rPr>
              <w:t xml:space="preserve">influences </w:t>
            </w:r>
            <w:bookmarkEnd w:id="0"/>
            <w:r w:rsidR="000D1862">
              <w:rPr>
                <w:lang w:val="en-GB" w:eastAsia="en-US"/>
              </w:rPr>
              <w:t>and potentials of e-m</w:t>
            </w:r>
            <w:r>
              <w:rPr>
                <w:lang w:val="en-GB" w:eastAsia="en-US"/>
              </w:rPr>
              <w:t>arketing</w:t>
            </w:r>
          </w:p>
        </w:tc>
      </w:tr>
      <w:tr w:rsidR="005E0203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34E2F" w:rsidRDefault="00F628F8" w:rsidP="00534E2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2DF" w:rsidRP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Marketing principles and concepts  </w:t>
            </w:r>
          </w:p>
          <w:p w:rsid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Understanding touris</w:t>
            </w:r>
            <w:r w:rsidR="000D1862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markets</w:t>
            </w:r>
          </w:p>
          <w:p w:rsidR="007702DF" w:rsidRP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Strategic marketing planning</w:t>
            </w:r>
          </w:p>
          <w:p w:rsidR="007702DF" w:rsidRP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Marketing research, competitor analysis</w:t>
            </w:r>
          </w:p>
          <w:p w:rsidR="007702DF" w:rsidRP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SWOT and STEEPLE frameworks</w:t>
            </w:r>
          </w:p>
          <w:p w:rsidR="007702DF" w:rsidRP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Consumer </w:t>
            </w:r>
            <w:r w:rsidR="00B22564"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behavior</w:t>
            </w: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market segmentation </w:t>
            </w:r>
          </w:p>
          <w:p w:rsidR="007702DF" w:rsidRP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marketing mix in hospitality and tourism </w:t>
            </w:r>
          </w:p>
          <w:p w:rsidR="007702DF" w:rsidRP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Promotional mix strategies &amp; tactics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communication</w:t>
            </w:r>
          </w:p>
          <w:p w:rsidR="007702DF" w:rsidRP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Distribution channels</w:t>
            </w:r>
            <w:r w:rsidR="00BB049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e-</w:t>
            </w:r>
            <w:r w:rsidR="000D1862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="00BB049B">
              <w:rPr>
                <w:rFonts w:ascii="Arial" w:hAnsi="Arial" w:cs="Arial"/>
                <w:bCs/>
                <w:sz w:val="20"/>
                <w:szCs w:val="20"/>
                <w:lang w:val="en-US"/>
              </w:rPr>
              <w:t>arketing</w:t>
            </w:r>
          </w:p>
          <w:p w:rsid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Tourism marketing and information technology</w:t>
            </w:r>
          </w:p>
          <w:p w:rsidR="007702DF" w:rsidRPr="007702DF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Destination marketing and branding</w:t>
            </w:r>
          </w:p>
          <w:p w:rsidR="00B73D14" w:rsidRDefault="007702DF" w:rsidP="007702DF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02DF">
              <w:rPr>
                <w:rFonts w:ascii="Arial" w:hAnsi="Arial" w:cs="Arial"/>
                <w:bCs/>
                <w:sz w:val="20"/>
                <w:szCs w:val="20"/>
                <w:lang w:val="en-US"/>
              </w:rPr>
              <w:t>Tourism marketing and crises</w:t>
            </w:r>
          </w:p>
          <w:p w:rsidR="00534E2F" w:rsidRPr="005B6160" w:rsidRDefault="00534E2F" w:rsidP="00534E2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E0203" w:rsidRPr="006B30CE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2D5FAF" w:rsidP="009F711F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BF7CF2"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9F711F" w:rsidRPr="00BF7CF2">
              <w:rPr>
                <w:rFonts w:cs="Arial"/>
                <w:szCs w:val="20"/>
                <w:lang w:val="en-US" w:eastAsia="en-US"/>
              </w:rPr>
              <w:t>demonstrations, and group discussions.</w:t>
            </w:r>
          </w:p>
          <w:p w:rsidR="00EF0BCB" w:rsidRPr="00D4613E" w:rsidRDefault="00BF7CF2" w:rsidP="009F711F">
            <w:pPr>
              <w:pStyle w:val="SelfStudyText"/>
              <w:rPr>
                <w:lang w:val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Add </w:t>
            </w:r>
            <w:r w:rsidR="00EF0BCB">
              <w:rPr>
                <w:rFonts w:cs="Arial"/>
                <w:szCs w:val="20"/>
                <w:lang w:val="en-US" w:eastAsia="en-US"/>
              </w:rPr>
              <w:t>any other method that you use during your lectures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883F89" w:rsidTr="00925BFE">
        <w:trPr>
          <w:trHeight w:val="6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0A6" w:rsidRDefault="00FA30A6" w:rsidP="00B961B9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534E2F" w:rsidRDefault="007702DF" w:rsidP="00B961B9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7702D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Kotler, T. P., Bowen, T. J., Makens, J. </w:t>
            </w:r>
            <w:proofErr w:type="spellStart"/>
            <w:r w:rsidRPr="007702D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Baloglu</w:t>
            </w:r>
            <w:proofErr w:type="spellEnd"/>
            <w:r w:rsidRPr="007702D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S.  (2017). Marketing for Hospitality and Tourism. London: Pearson</w:t>
            </w:r>
            <w:r w:rsidR="00B961B9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. </w:t>
            </w:r>
          </w:p>
          <w:p w:rsidR="00B961B9" w:rsidRDefault="00B961B9" w:rsidP="00B961B9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B961B9" w:rsidRDefault="00B961B9" w:rsidP="00B961B9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B961B9" w:rsidRPr="005B3F16" w:rsidRDefault="00B961B9" w:rsidP="00B961B9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6B30CE" w:rsidTr="00B22564">
        <w:trPr>
          <w:trHeight w:val="106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404409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8144D" w:rsidRDefault="00B961B9" w:rsidP="00B961B9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961B9">
              <w:rPr>
                <w:rFonts w:ascii="Arial" w:hAnsi="Arial" w:cs="Arial"/>
                <w:bCs/>
                <w:sz w:val="20"/>
                <w:szCs w:val="20"/>
                <w:lang w:val="en-US"/>
              </w:rPr>
              <w:t>Armstrong, G., Kotler, P. (2016). Marketing: An Introduction. London: Pearson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B961B9" w:rsidRPr="00105933" w:rsidRDefault="00B961B9" w:rsidP="00B961B9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B961B9">
              <w:rPr>
                <w:rFonts w:ascii="Arial" w:hAnsi="Arial" w:cs="Arial"/>
                <w:bCs/>
                <w:sz w:val="20"/>
                <w:szCs w:val="20"/>
                <w:lang w:val="en-US"/>
              </w:rPr>
              <w:t>Kerin</w:t>
            </w:r>
            <w:proofErr w:type="spellEnd"/>
            <w:r w:rsidRPr="00B961B9">
              <w:rPr>
                <w:rFonts w:ascii="Arial" w:hAnsi="Arial" w:cs="Arial"/>
                <w:bCs/>
                <w:sz w:val="20"/>
                <w:szCs w:val="20"/>
                <w:lang w:val="en-US"/>
              </w:rPr>
              <w:t>, A. R., Hartley, S. W. (2016). Marketing. New York: McGraw-Hill Education</w:t>
            </w:r>
            <w:r w:rsidR="003A1ED6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925BFE">
        <w:trPr>
          <w:trHeight w:val="2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48144D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622EF1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AB" w:rsidRDefault="00B672AB">
      <w:r>
        <w:separator/>
      </w:r>
    </w:p>
  </w:endnote>
  <w:endnote w:type="continuationSeparator" w:id="0">
    <w:p w:rsidR="00B672AB" w:rsidRDefault="00B6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B22564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2A5E3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EFF2C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AB" w:rsidRDefault="00B672AB">
      <w:r>
        <w:separator/>
      </w:r>
    </w:p>
  </w:footnote>
  <w:footnote w:type="continuationSeparator" w:id="0">
    <w:p w:rsidR="00B672AB" w:rsidRDefault="00B6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proofErr w:type="spellEnd"/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B22564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1A56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11A0"/>
    <w:multiLevelType w:val="hybridMultilevel"/>
    <w:tmpl w:val="D10C7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D71DB"/>
    <w:multiLevelType w:val="multilevel"/>
    <w:tmpl w:val="EBC0D0A8"/>
    <w:lvl w:ilvl="0">
      <w:start w:val="1"/>
      <w:numFmt w:val="decimal"/>
      <w:pStyle w:val="SelfStudyBullet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AE13DAB"/>
    <w:multiLevelType w:val="multilevel"/>
    <w:tmpl w:val="80D6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B995B03"/>
    <w:multiLevelType w:val="hybridMultilevel"/>
    <w:tmpl w:val="BA480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73BF"/>
    <w:multiLevelType w:val="hybridMultilevel"/>
    <w:tmpl w:val="945CF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975471"/>
    <w:multiLevelType w:val="multilevel"/>
    <w:tmpl w:val="80D6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7F535A7"/>
    <w:multiLevelType w:val="multilevel"/>
    <w:tmpl w:val="71B0E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8A7F5F"/>
    <w:multiLevelType w:val="hybridMultilevel"/>
    <w:tmpl w:val="73945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7D12"/>
    <w:multiLevelType w:val="hybridMultilevel"/>
    <w:tmpl w:val="F0E045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8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9615FA6"/>
    <w:multiLevelType w:val="multilevel"/>
    <w:tmpl w:val="71B0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8"/>
  </w:num>
  <w:num w:numId="11">
    <w:abstractNumId w:val="16"/>
  </w:num>
  <w:num w:numId="12">
    <w:abstractNumId w:val="4"/>
  </w:num>
  <w:num w:numId="13">
    <w:abstractNumId w:val="5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  <w:num w:numId="18">
    <w:abstractNumId w:val="12"/>
  </w:num>
  <w:num w:numId="19">
    <w:abstractNumId w:val="8"/>
  </w:num>
  <w:num w:numId="20">
    <w:abstractNumId w:val="20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84059"/>
    <w:rsid w:val="0009077F"/>
    <w:rsid w:val="000957CA"/>
    <w:rsid w:val="00095A23"/>
    <w:rsid w:val="000A0035"/>
    <w:rsid w:val="000A02F9"/>
    <w:rsid w:val="000A0BF1"/>
    <w:rsid w:val="000A7F53"/>
    <w:rsid w:val="000B021B"/>
    <w:rsid w:val="000C755D"/>
    <w:rsid w:val="000D1862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5DE3"/>
    <w:rsid w:val="001162EB"/>
    <w:rsid w:val="00120E93"/>
    <w:rsid w:val="00122F7F"/>
    <w:rsid w:val="001256F9"/>
    <w:rsid w:val="00125758"/>
    <w:rsid w:val="00135730"/>
    <w:rsid w:val="001361B5"/>
    <w:rsid w:val="00136922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C664A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3589"/>
    <w:rsid w:val="00256C09"/>
    <w:rsid w:val="00261DC2"/>
    <w:rsid w:val="00261ED6"/>
    <w:rsid w:val="00262116"/>
    <w:rsid w:val="0026755D"/>
    <w:rsid w:val="00270E12"/>
    <w:rsid w:val="00272911"/>
    <w:rsid w:val="00274C1F"/>
    <w:rsid w:val="00277A0D"/>
    <w:rsid w:val="002811D4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456"/>
    <w:rsid w:val="002E5604"/>
    <w:rsid w:val="002E7F15"/>
    <w:rsid w:val="002F32BA"/>
    <w:rsid w:val="002F3566"/>
    <w:rsid w:val="002F5212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4039C"/>
    <w:rsid w:val="003419B9"/>
    <w:rsid w:val="00342E32"/>
    <w:rsid w:val="00344E20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87669"/>
    <w:rsid w:val="003916F2"/>
    <w:rsid w:val="003978DA"/>
    <w:rsid w:val="003A1ED6"/>
    <w:rsid w:val="003A2531"/>
    <w:rsid w:val="003A3ACB"/>
    <w:rsid w:val="003A456F"/>
    <w:rsid w:val="003C2F32"/>
    <w:rsid w:val="003C2FA6"/>
    <w:rsid w:val="003C34E6"/>
    <w:rsid w:val="003C4B1E"/>
    <w:rsid w:val="003C4E34"/>
    <w:rsid w:val="003D0A0E"/>
    <w:rsid w:val="003D3F35"/>
    <w:rsid w:val="003E71C3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86EE9"/>
    <w:rsid w:val="00493B23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F2AA6"/>
    <w:rsid w:val="005027F3"/>
    <w:rsid w:val="00503C29"/>
    <w:rsid w:val="005046F3"/>
    <w:rsid w:val="005079D8"/>
    <w:rsid w:val="00513094"/>
    <w:rsid w:val="005165B6"/>
    <w:rsid w:val="005273A0"/>
    <w:rsid w:val="005300DE"/>
    <w:rsid w:val="005322C8"/>
    <w:rsid w:val="00534E2F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65410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2EF1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B30CE"/>
    <w:rsid w:val="006C3D37"/>
    <w:rsid w:val="006C6778"/>
    <w:rsid w:val="006D4523"/>
    <w:rsid w:val="006D4C7D"/>
    <w:rsid w:val="006E26F6"/>
    <w:rsid w:val="006E2903"/>
    <w:rsid w:val="006E790A"/>
    <w:rsid w:val="006F5BE0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02DF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2307"/>
    <w:rsid w:val="007D6F08"/>
    <w:rsid w:val="007E145F"/>
    <w:rsid w:val="007E4934"/>
    <w:rsid w:val="007E659A"/>
    <w:rsid w:val="007F3B0D"/>
    <w:rsid w:val="007F5B4C"/>
    <w:rsid w:val="007F64D8"/>
    <w:rsid w:val="00801D10"/>
    <w:rsid w:val="00802DCB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41173"/>
    <w:rsid w:val="0094647F"/>
    <w:rsid w:val="009511AC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3546"/>
    <w:rsid w:val="009E4265"/>
    <w:rsid w:val="009E641F"/>
    <w:rsid w:val="009F1147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1A1"/>
    <w:rsid w:val="00A377B2"/>
    <w:rsid w:val="00A37B46"/>
    <w:rsid w:val="00A37CA3"/>
    <w:rsid w:val="00A414C4"/>
    <w:rsid w:val="00A44CD9"/>
    <w:rsid w:val="00A4653A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0B26"/>
    <w:rsid w:val="00AB2EB9"/>
    <w:rsid w:val="00AB6612"/>
    <w:rsid w:val="00AB6DEE"/>
    <w:rsid w:val="00AB7353"/>
    <w:rsid w:val="00AB77AC"/>
    <w:rsid w:val="00AB7903"/>
    <w:rsid w:val="00AB7EBA"/>
    <w:rsid w:val="00AC188C"/>
    <w:rsid w:val="00AC6AAC"/>
    <w:rsid w:val="00AD0CCD"/>
    <w:rsid w:val="00AD247F"/>
    <w:rsid w:val="00AD51D9"/>
    <w:rsid w:val="00AE12B7"/>
    <w:rsid w:val="00AE278B"/>
    <w:rsid w:val="00AE3556"/>
    <w:rsid w:val="00AF137C"/>
    <w:rsid w:val="00AF1A23"/>
    <w:rsid w:val="00AF1F13"/>
    <w:rsid w:val="00AF6688"/>
    <w:rsid w:val="00B03407"/>
    <w:rsid w:val="00B0704E"/>
    <w:rsid w:val="00B2025D"/>
    <w:rsid w:val="00B22119"/>
    <w:rsid w:val="00B22564"/>
    <w:rsid w:val="00B22AEF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672AB"/>
    <w:rsid w:val="00B71B06"/>
    <w:rsid w:val="00B71B2F"/>
    <w:rsid w:val="00B734DE"/>
    <w:rsid w:val="00B7367F"/>
    <w:rsid w:val="00B73D14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961B9"/>
    <w:rsid w:val="00BA2DC5"/>
    <w:rsid w:val="00BA3ED9"/>
    <w:rsid w:val="00BA607B"/>
    <w:rsid w:val="00BB049B"/>
    <w:rsid w:val="00BB263A"/>
    <w:rsid w:val="00BB2781"/>
    <w:rsid w:val="00BB4B86"/>
    <w:rsid w:val="00BB5172"/>
    <w:rsid w:val="00BC2A6B"/>
    <w:rsid w:val="00BC4082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60A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12FF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6FF8"/>
    <w:rsid w:val="00D870C7"/>
    <w:rsid w:val="00D9180C"/>
    <w:rsid w:val="00D94E28"/>
    <w:rsid w:val="00D9575D"/>
    <w:rsid w:val="00D959FE"/>
    <w:rsid w:val="00DA00F7"/>
    <w:rsid w:val="00DA0EFB"/>
    <w:rsid w:val="00DB07B5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3D14"/>
    <w:rsid w:val="00E4576A"/>
    <w:rsid w:val="00E45DEC"/>
    <w:rsid w:val="00E47D84"/>
    <w:rsid w:val="00E5253E"/>
    <w:rsid w:val="00E52E4F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3ECF"/>
    <w:rsid w:val="00F13325"/>
    <w:rsid w:val="00F16F65"/>
    <w:rsid w:val="00F2090F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28F8"/>
    <w:rsid w:val="00F66889"/>
    <w:rsid w:val="00F66B76"/>
    <w:rsid w:val="00F66C7D"/>
    <w:rsid w:val="00F70E47"/>
    <w:rsid w:val="00F73379"/>
    <w:rsid w:val="00F757CA"/>
    <w:rsid w:val="00F80930"/>
    <w:rsid w:val="00F8214C"/>
    <w:rsid w:val="00F826E8"/>
    <w:rsid w:val="00F900EF"/>
    <w:rsid w:val="00F92715"/>
    <w:rsid w:val="00FA14D1"/>
    <w:rsid w:val="00FA1A1D"/>
    <w:rsid w:val="00FA30A6"/>
    <w:rsid w:val="00FA388C"/>
    <w:rsid w:val="00FA4F05"/>
    <w:rsid w:val="00FA522A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B9B7DF35-43BA-49DE-9D0E-0384615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9392-E3E1-45FB-86CA-6F767E11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Michalis Anastasiou</cp:lastModifiedBy>
  <cp:revision>5</cp:revision>
  <cp:lastPrinted>2011-12-13T13:26:00Z</cp:lastPrinted>
  <dcterms:created xsi:type="dcterms:W3CDTF">2018-03-20T10:13:00Z</dcterms:created>
  <dcterms:modified xsi:type="dcterms:W3CDTF">2018-03-30T09:22:00Z</dcterms:modified>
</cp:coreProperties>
</file>