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  <w:bookmarkStart w:id="0" w:name="_GoBack"/>
      <w:bookmarkEnd w:id="0"/>
    </w:p>
    <w:tbl>
      <w:tblPr>
        <w:tblW w:w="9780" w:type="dxa"/>
        <w:tblLook w:val="00A0" w:firstRow="1" w:lastRow="0" w:firstColumn="1" w:lastColumn="0" w:noHBand="0" w:noVBand="0"/>
      </w:tblPr>
      <w:tblGrid>
        <w:gridCol w:w="1842"/>
        <w:gridCol w:w="1401"/>
        <w:gridCol w:w="1980"/>
        <w:gridCol w:w="811"/>
        <w:gridCol w:w="449"/>
        <w:gridCol w:w="1564"/>
        <w:gridCol w:w="520"/>
        <w:gridCol w:w="1213"/>
      </w:tblGrid>
      <w:tr w:rsidR="005E0203" w:rsidRPr="00883F89" w:rsidTr="00C61B47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A6551" w:rsidRDefault="006E7D78" w:rsidP="007A655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7A6551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 xml:space="preserve">Managing </w:t>
            </w:r>
            <w:r w:rsidR="007F4F24" w:rsidRPr="007A6551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Financial Decisions</w:t>
            </w:r>
            <w:r w:rsidR="00F50D86" w:rsidRPr="007A6551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 xml:space="preserve"> &amp; Accounting</w:t>
            </w:r>
          </w:p>
        </w:tc>
      </w:tr>
      <w:tr w:rsidR="005E0203" w:rsidRPr="00883F89" w:rsidTr="00C61B47">
        <w:trPr>
          <w:trHeight w:val="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A6551" w:rsidRDefault="00C61B47" w:rsidP="007A65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A655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TMBA </w:t>
            </w:r>
            <w:r w:rsidR="00847C5C" w:rsidRPr="007A6551">
              <w:rPr>
                <w:rFonts w:ascii="Arial" w:hAnsi="Arial" w:cs="Arial"/>
                <w:sz w:val="20"/>
                <w:szCs w:val="20"/>
                <w:lang w:val="en-US" w:eastAsia="en-GB"/>
              </w:rPr>
              <w:t>–</w:t>
            </w:r>
            <w:r w:rsidRPr="007A655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110</w:t>
            </w:r>
          </w:p>
        </w:tc>
      </w:tr>
      <w:tr w:rsidR="005E0203" w:rsidRPr="00883F89" w:rsidTr="00C61B47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B1781" w:rsidRDefault="005E0203" w:rsidP="007A6551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 w:rsidR="007A6551">
              <w:rPr>
                <w:rFonts w:ascii="Arial" w:hAnsi="Arial" w:cs="Arial"/>
                <w:sz w:val="20"/>
                <w:szCs w:val="20"/>
                <w:lang w:val="en-US"/>
              </w:rPr>
              <w:t>is a</w:t>
            </w: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</w:t>
            </w:r>
            <w:r w:rsidR="007471BE" w:rsidRPr="007B1781"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</w:p>
        </w:tc>
      </w:tr>
      <w:tr w:rsidR="00C61B47" w:rsidRPr="00883F89" w:rsidTr="00C61B47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D05721" w:rsidRDefault="00C61B47" w:rsidP="00C61B47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C61B47" w:rsidRPr="00883F89" w:rsidTr="00C61B47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274C1F" w:rsidRDefault="00C61B47" w:rsidP="00C61B47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A’ or B’ or C’ Semester</w:t>
            </w:r>
          </w:p>
        </w:tc>
      </w:tr>
      <w:tr w:rsidR="00C61B47" w:rsidRPr="00883F89" w:rsidTr="00C61B47">
        <w:trPr>
          <w:trHeight w:val="5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Mr Panayiotis Panayi</w:t>
            </w:r>
          </w:p>
        </w:tc>
      </w:tr>
      <w:tr w:rsidR="00C61B47" w:rsidRPr="00883F89" w:rsidTr="00C61B47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847C5C" w:rsidRDefault="00847C5C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C61B47" w:rsidRPr="00883F89" w:rsidTr="00C61B47">
        <w:trPr>
          <w:trHeight w:val="23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F4F24">
              <w:rPr>
                <w:rFonts w:ascii="Arial" w:hAnsi="Arial" w:cs="Arial"/>
                <w:sz w:val="20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lang w:val="en-GB"/>
              </w:rPr>
              <w:t xml:space="preserve">is course </w:t>
            </w:r>
            <w:r w:rsidRPr="007F4F24">
              <w:rPr>
                <w:rFonts w:ascii="Arial" w:hAnsi="Arial" w:cs="Arial"/>
                <w:sz w:val="20"/>
                <w:lang w:val="en-GB"/>
              </w:rPr>
              <w:t>provide</w:t>
            </w: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Pr="007F4F24">
              <w:rPr>
                <w:rFonts w:ascii="Arial" w:hAnsi="Arial" w:cs="Arial"/>
                <w:sz w:val="20"/>
                <w:lang w:val="en-GB"/>
              </w:rPr>
              <w:t xml:space="preserve"> students with </w:t>
            </w:r>
            <w:r>
              <w:rPr>
                <w:rFonts w:ascii="Arial" w:hAnsi="Arial" w:cs="Arial"/>
                <w:sz w:val="20"/>
                <w:lang w:val="en-GB"/>
              </w:rPr>
              <w:t xml:space="preserve">an in-depth </w:t>
            </w:r>
            <w:r w:rsidRPr="007F4F24">
              <w:rPr>
                <w:rFonts w:ascii="Arial" w:hAnsi="Arial" w:cs="Arial"/>
                <w:sz w:val="20"/>
                <w:lang w:val="en-GB"/>
              </w:rPr>
              <w:t>knowledge and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decision-making </w:t>
            </w:r>
            <w:r w:rsidRPr="007F4F24">
              <w:rPr>
                <w:rFonts w:ascii="Arial" w:hAnsi="Arial" w:cs="Arial"/>
                <w:sz w:val="20"/>
                <w:lang w:val="en-GB"/>
              </w:rPr>
              <w:t xml:space="preserve">tools to </w:t>
            </w:r>
            <w:r>
              <w:rPr>
                <w:rFonts w:ascii="Arial" w:hAnsi="Arial" w:cs="Arial"/>
                <w:sz w:val="20"/>
                <w:lang w:val="en-GB"/>
              </w:rPr>
              <w:t xml:space="preserve">assess </w:t>
            </w:r>
            <w:r w:rsidRPr="007F4F24">
              <w:rPr>
                <w:rFonts w:ascii="Arial" w:hAnsi="Arial" w:cs="Arial"/>
                <w:sz w:val="20"/>
                <w:lang w:val="en-GB"/>
              </w:rPr>
              <w:t>the company performance t</w:t>
            </w:r>
            <w:r>
              <w:rPr>
                <w:rFonts w:ascii="Arial" w:hAnsi="Arial" w:cs="Arial"/>
                <w:sz w:val="20"/>
                <w:lang w:val="en-GB"/>
              </w:rPr>
              <w:t>h</w:t>
            </w:r>
            <w:r w:rsidRPr="007F4F24">
              <w:rPr>
                <w:rFonts w:ascii="Arial" w:hAnsi="Arial" w:cs="Arial"/>
                <w:sz w:val="20"/>
                <w:lang w:val="en-GB"/>
              </w:rPr>
              <w:t xml:space="preserve">rough external and publicly available </w:t>
            </w:r>
            <w:r>
              <w:rPr>
                <w:rFonts w:ascii="Arial" w:hAnsi="Arial" w:cs="Arial"/>
                <w:sz w:val="20"/>
                <w:lang w:val="en-GB"/>
              </w:rPr>
              <w:t xml:space="preserve">accounting and finance related </w:t>
            </w:r>
            <w:r w:rsidRPr="007F4F24">
              <w:rPr>
                <w:rFonts w:ascii="Arial" w:hAnsi="Arial" w:cs="Arial"/>
                <w:sz w:val="20"/>
                <w:lang w:val="en-GB"/>
              </w:rPr>
              <w:t xml:space="preserve">information. </w:t>
            </w:r>
            <w:r>
              <w:rPr>
                <w:rFonts w:ascii="Arial" w:hAnsi="Arial" w:cs="Arial"/>
                <w:sz w:val="20"/>
                <w:lang w:val="en-GB"/>
              </w:rPr>
              <w:t>Therefore, students will become skilful in using i</w:t>
            </w:r>
            <w:r w:rsidRPr="007F4F24">
              <w:rPr>
                <w:rFonts w:ascii="Arial" w:hAnsi="Arial" w:cs="Arial"/>
                <w:sz w:val="20"/>
                <w:lang w:val="en-GB"/>
              </w:rPr>
              <w:t>nternally accessible data to drive the company towards its goals.</w:t>
            </w: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Students are expected to:</w:t>
            </w:r>
          </w:p>
          <w:p w:rsidR="00C61B47" w:rsidRPr="007F4F24" w:rsidRDefault="00F30FD5" w:rsidP="00C61B47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udit and measure the effective performance of a business through analysis of financial </w:t>
            </w:r>
            <w:r w:rsidR="00C61B47">
              <w:rPr>
                <w:rFonts w:ascii="Arial" w:hAnsi="Arial" w:cs="Arial"/>
                <w:sz w:val="20"/>
                <w:lang w:val="en-GB"/>
              </w:rPr>
              <w:t xml:space="preserve">and accounting 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instruments such as profit &amp; loss statements, cash flow statements and balance sheets, </w:t>
            </w:r>
          </w:p>
          <w:p w:rsidR="00C61B47" w:rsidRPr="007F4F24" w:rsidRDefault="00F30FD5" w:rsidP="00C61B47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="00C61B47">
              <w:rPr>
                <w:rFonts w:ascii="Arial" w:hAnsi="Arial" w:cs="Arial"/>
                <w:sz w:val="20"/>
                <w:lang w:val="en-GB"/>
              </w:rPr>
              <w:t>ssess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 projects and investments by utilising financial costing and investment analysis models, </w:t>
            </w:r>
          </w:p>
          <w:p w:rsidR="00C61B47" w:rsidRPr="007F4F24" w:rsidRDefault="00F30FD5" w:rsidP="00C61B47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ntegrate the importance of risks within the diversity of business decisions, </w:t>
            </w:r>
          </w:p>
          <w:p w:rsidR="00C61B47" w:rsidRPr="007F4F24" w:rsidRDefault="00F30FD5" w:rsidP="00C61B47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="00C61B47">
              <w:rPr>
                <w:rFonts w:ascii="Arial" w:hAnsi="Arial" w:cs="Arial"/>
                <w:sz w:val="20"/>
                <w:lang w:val="en-GB"/>
              </w:rPr>
              <w:t>ppraise the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61B47">
              <w:rPr>
                <w:rFonts w:ascii="Arial" w:hAnsi="Arial" w:cs="Arial"/>
                <w:sz w:val="20"/>
                <w:lang w:val="en-GB"/>
              </w:rPr>
              <w:t>financial m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anagement strategy for use in a range of domestic and international settings, </w:t>
            </w:r>
          </w:p>
          <w:p w:rsidR="00C61B47" w:rsidRDefault="00F30FD5" w:rsidP="00C61B47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>ppreciate the effect of intangibles on business value and evaluate a conceptual framework for managing shareholder value.</w:t>
            </w:r>
          </w:p>
          <w:p w:rsidR="00C61B47" w:rsidRDefault="00F30FD5" w:rsidP="00C61B47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  <w:r w:rsidR="00C61B47">
              <w:rPr>
                <w:rFonts w:ascii="Arial" w:hAnsi="Arial" w:cs="Arial"/>
                <w:sz w:val="20"/>
                <w:lang w:val="en-GB"/>
              </w:rPr>
              <w:t>omprehend</w:t>
            </w:r>
            <w:r w:rsidR="00C61B47" w:rsidRPr="007F4F24">
              <w:rPr>
                <w:rFonts w:ascii="Arial" w:hAnsi="Arial" w:cs="Arial"/>
                <w:sz w:val="20"/>
                <w:lang w:val="en-GB"/>
              </w:rPr>
              <w:t xml:space="preserve"> the significance of the wider legal, ethical, global and strategic context within which Financial resource management is located,</w:t>
            </w: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61B47" w:rsidRPr="007B1781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61B47" w:rsidRPr="00883F89" w:rsidTr="00C61B47">
        <w:trPr>
          <w:trHeight w:val="44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C61B47" w:rsidRPr="007B1781" w:rsidRDefault="00C61B47" w:rsidP="00C61B47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7B1781">
              <w:rPr>
                <w:lang w:eastAsia="en-US"/>
              </w:rPr>
              <w:t>Upon completion of this course students will be able to:</w:t>
            </w:r>
          </w:p>
          <w:p w:rsidR="00C61B47" w:rsidRPr="007B1781" w:rsidRDefault="00C61B47" w:rsidP="00C61B47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C61B47" w:rsidRDefault="00834DB1" w:rsidP="00C61B47">
            <w:pPr>
              <w:pStyle w:val="SelfStudyBullets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Interpret</w:t>
            </w:r>
            <w:r w:rsidR="007A6551">
              <w:rPr>
                <w:lang w:eastAsia="en-US"/>
              </w:rPr>
              <w:t xml:space="preserve"> and evaluate</w:t>
            </w:r>
            <w:r w:rsidR="00C61B47">
              <w:rPr>
                <w:lang w:eastAsia="en-US"/>
              </w:rPr>
              <w:t xml:space="preserve"> financial statements, concepts and principles and their use in decision</w:t>
            </w:r>
            <w:r>
              <w:rPr>
                <w:lang w:eastAsia="en-US"/>
              </w:rPr>
              <w:t>-</w:t>
            </w:r>
            <w:r w:rsidR="00C61B47">
              <w:rPr>
                <w:lang w:eastAsia="en-US"/>
              </w:rPr>
              <w:t xml:space="preserve"> making.</w:t>
            </w:r>
          </w:p>
          <w:p w:rsidR="00C61B47" w:rsidRDefault="00C61B47" w:rsidP="00C61B47">
            <w:pPr>
              <w:pStyle w:val="SelfStudyBullets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Evaluate the decision making implications of financial and management accounting</w:t>
            </w:r>
            <w:r w:rsidR="007A6551">
              <w:rPr>
                <w:lang w:eastAsia="en-US"/>
              </w:rPr>
              <w:t xml:space="preserve"> and the relationship between cost analysis, profitability, liquidity and capital</w:t>
            </w:r>
          </w:p>
          <w:p w:rsidR="00C61B47" w:rsidRDefault="00C61B47" w:rsidP="00C61B47">
            <w:pPr>
              <w:pStyle w:val="SelfStudyBullets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Evaluate companies’ financial and accounting information to assess performance, prepare budget and make rational investment decisions.</w:t>
            </w:r>
          </w:p>
          <w:p w:rsidR="00C61B47" w:rsidRDefault="00C61B47" w:rsidP="00C61B47">
            <w:pPr>
              <w:pStyle w:val="SelfStudyBullets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Use accounting and financial decision-making in the strategy formulation process. </w:t>
            </w:r>
          </w:p>
          <w:p w:rsidR="00C61B47" w:rsidRDefault="00C61B47" w:rsidP="00C61B47">
            <w:pPr>
              <w:pStyle w:val="SelfStudyBullets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Appreciate the cost and benefits of using more sophisticated accounting and financial </w:t>
            </w:r>
            <w:r w:rsidR="00F30FD5">
              <w:rPr>
                <w:lang w:eastAsia="en-US"/>
              </w:rPr>
              <w:t>decision</w:t>
            </w:r>
            <w:r w:rsidR="00834DB1">
              <w:rPr>
                <w:lang w:eastAsia="en-US"/>
              </w:rPr>
              <w:t xml:space="preserve">-making techniques </w:t>
            </w:r>
            <w:r w:rsidR="00DA6148">
              <w:rPr>
                <w:lang w:eastAsia="en-US"/>
              </w:rPr>
              <w:t>such as valuation and risk management techniques</w:t>
            </w:r>
          </w:p>
          <w:p w:rsidR="00C61B47" w:rsidRPr="007B1781" w:rsidRDefault="00C61B47" w:rsidP="007A6551">
            <w:pPr>
              <w:pStyle w:val="SelfStudyBullets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Evaluate various scenarios to deal with complex issues both systematically and creatively in order to make sound judgments in the absence of complete data</w:t>
            </w:r>
            <w:r w:rsidR="007A6551">
              <w:rPr>
                <w:lang w:eastAsia="en-US"/>
              </w:rPr>
              <w:t xml:space="preserve"> and c</w:t>
            </w:r>
            <w:r>
              <w:rPr>
                <w:lang w:eastAsia="en-US"/>
              </w:rPr>
              <w:t>ommunicate conclusions and reports</w:t>
            </w:r>
            <w:r w:rsidR="007A6551">
              <w:rPr>
                <w:lang w:eastAsia="en-US"/>
              </w:rPr>
              <w:t>.</w:t>
            </w:r>
          </w:p>
        </w:tc>
      </w:tr>
      <w:tr w:rsidR="00C61B47" w:rsidRPr="00883F89" w:rsidTr="00C61B47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C61B47" w:rsidRPr="00883F89" w:rsidTr="00C61B47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>ccounting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61B47" w:rsidRPr="000A3918" w:rsidRDefault="00C61B47" w:rsidP="00C61B47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role of accounting </w:t>
            </w:r>
          </w:p>
          <w:p w:rsidR="00C61B47" w:rsidRPr="000A3918" w:rsidRDefault="00C61B47" w:rsidP="00C61B47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Financial and management accounting </w:t>
            </w:r>
          </w:p>
          <w:p w:rsidR="00C61B47" w:rsidRPr="000A3918" w:rsidRDefault="00C61B47" w:rsidP="00C61B47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Users of accounting information </w:t>
            </w:r>
          </w:p>
          <w:p w:rsidR="00C61B47" w:rsidRPr="000A3918" w:rsidRDefault="00C61B47" w:rsidP="00C61B47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Accounting Framework </w:t>
            </w:r>
          </w:p>
          <w:p w:rsidR="00C61B47" w:rsidRPr="000A3918" w:rsidRDefault="00C61B47" w:rsidP="00C61B47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Desirable qualities of accounting information </w:t>
            </w:r>
          </w:p>
          <w:p w:rsidR="00C61B47" w:rsidRPr="000A3918" w:rsidRDefault="00C61B47" w:rsidP="00C61B47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Accounting standards </w:t>
            </w: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>Financial Statement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Financial Statements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Accounting for the types of business organisation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Cash Vs Profit and the accruals concept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Profit and Loss Account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Balance Sheet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Cash Flow Statements </w:t>
            </w: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Introduction to Financial Statement Analysis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Aim of Financial Statement Analysis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Financial Analysis tools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Limitation of Financial Statement Analysis </w:t>
            </w:r>
          </w:p>
          <w:p w:rsidR="00C61B47" w:rsidRPr="000A3918" w:rsidRDefault="00C61B47" w:rsidP="00F30FD5">
            <w:pPr>
              <w:numPr>
                <w:ilvl w:val="1"/>
                <w:numId w:val="19"/>
              </w:numPr>
              <w:spacing w:before="120" w:after="120"/>
              <w:ind w:left="1135" w:firstLine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Horizontal and vertical analysis </w:t>
            </w:r>
          </w:p>
          <w:p w:rsidR="00C61B47" w:rsidRPr="000A3918" w:rsidRDefault="00C61B47" w:rsidP="00C61B4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Company Performance Analysis and Evaluation: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Profitability Ratios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Efficiency Ratios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Liquidity Ratios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Investor Ratios </w:t>
            </w: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Cost behavior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Fixed cost and variable cost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Cost Volume Profit Analysis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Direct and indirect cost </w:t>
            </w:r>
          </w:p>
          <w:p w:rsidR="007A6551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>Overhead absorption</w:t>
            </w:r>
          </w:p>
          <w:p w:rsidR="00C61B47" w:rsidRPr="000A3918" w:rsidRDefault="007A6551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Cash budget</w:t>
            </w:r>
            <w:r w:rsidR="00C61B47"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Capital budgeting: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Investment appraisal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Payback period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Net Present Value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Accounting rate of return </w:t>
            </w: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Valuation: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Valuation techniques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Bond valuation </w:t>
            </w:r>
          </w:p>
          <w:p w:rsidR="00C61B47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Share valuation </w:t>
            </w:r>
          </w:p>
          <w:p w:rsidR="007A6551" w:rsidRPr="000A3918" w:rsidRDefault="007A6551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Risk management</w:t>
            </w:r>
          </w:p>
          <w:p w:rsidR="00C61B47" w:rsidRPr="000A3918" w:rsidRDefault="00C61B47" w:rsidP="00C61B47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>Risk management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Risk management and risk factors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Forward contracts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Future contracts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Options </w:t>
            </w:r>
          </w:p>
          <w:p w:rsidR="00C61B47" w:rsidRPr="000A3918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Swaps </w:t>
            </w:r>
          </w:p>
          <w:p w:rsidR="00C61B47" w:rsidRDefault="00C61B47" w:rsidP="00C61B47">
            <w:pPr>
              <w:numPr>
                <w:ilvl w:val="1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A39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Hedging </w:t>
            </w:r>
          </w:p>
          <w:p w:rsidR="00C61B47" w:rsidRPr="007B1781" w:rsidRDefault="00C61B47" w:rsidP="00C61B47">
            <w:pPr>
              <w:spacing w:before="120" w:after="120"/>
              <w:ind w:left="18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61B47" w:rsidRPr="00883F89" w:rsidTr="00C61B47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Teaching Methodology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pStyle w:val="SelfStudyText"/>
              <w:rPr>
                <w:rFonts w:cs="Arial"/>
                <w:lang w:val="en-US"/>
              </w:rPr>
            </w:pPr>
            <w:r w:rsidRPr="00C61B47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case-studies and exercises, debates, demonstrations and discussion, educational visits, digital learning, flip learning method, coaching-mentoring, project-based learning method, work-based learning method, presentations by visitors etc.</w:t>
            </w:r>
          </w:p>
        </w:tc>
      </w:tr>
      <w:tr w:rsidR="00C61B47" w:rsidRPr="00883F89" w:rsidTr="00C61B47">
        <w:trPr>
          <w:trHeight w:val="5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C61B47" w:rsidRPr="00883F89" w:rsidTr="00C61B47">
        <w:trPr>
          <w:trHeight w:val="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C61B47" w:rsidRPr="00883F89" w:rsidTr="00C61B47">
        <w:trPr>
          <w:trHeight w:val="6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Default="00C61B47" w:rsidP="00C61B47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C61B47" w:rsidRDefault="00C61B47" w:rsidP="00C2770A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5641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Titman, S., Keown, J. A., Martin, D. J. (201</w:t>
            </w:r>
            <w:r w:rsidR="006C3CD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</w:t>
            </w:r>
            <w:r w:rsidRPr="00F5641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). Financial Manageme</w:t>
            </w:r>
            <w:r w:rsidR="00F30FD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nt: Principles and Applications; 1</w:t>
            </w:r>
            <w:r w:rsidR="006C3CD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</w:t>
            </w:r>
            <w:r w:rsidR="00F30FD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 edition;</w:t>
            </w:r>
            <w:r w:rsidR="00333D6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ISBN: 9780134417219.</w:t>
            </w:r>
          </w:p>
          <w:p w:rsidR="00C2770A" w:rsidRPr="00C2770A" w:rsidRDefault="00C2770A" w:rsidP="00C2770A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61B47" w:rsidRPr="00883F89" w:rsidTr="00C61B47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61B47" w:rsidRPr="007B1781" w:rsidRDefault="00C61B47" w:rsidP="00C61B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C61B47" w:rsidRPr="00883F89" w:rsidTr="00C61B47">
        <w:trPr>
          <w:trHeight w:val="17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61B47" w:rsidRDefault="00C61B47" w:rsidP="00C61B47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56415">
              <w:rPr>
                <w:rFonts w:ascii="Arial" w:hAnsi="Arial" w:cs="Arial"/>
                <w:bCs/>
                <w:sz w:val="20"/>
                <w:szCs w:val="20"/>
                <w:lang w:val="en-US"/>
              </w:rPr>
              <w:t>Alexander, D., Britton, A., Jorissen, A., Hoogendoorn, M., van Mourik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F56415">
              <w:rPr>
                <w:rFonts w:ascii="Arial" w:hAnsi="Arial" w:cs="Arial"/>
                <w:bCs/>
                <w:sz w:val="20"/>
                <w:szCs w:val="20"/>
                <w:lang w:val="en-US"/>
              </w:rPr>
              <w:t>C. (2017). International F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inancial Reporting and Analysis; 7th edition;</w:t>
            </w:r>
            <w:r w:rsidRPr="00F564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ISBN-13: 978-1473725454</w:t>
            </w:r>
          </w:p>
          <w:p w:rsidR="00C61B47" w:rsidRDefault="00C61B47" w:rsidP="00C61B47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B11E1">
              <w:rPr>
                <w:rFonts w:ascii="Arial" w:hAnsi="Arial" w:cs="Arial"/>
                <w:bCs/>
                <w:sz w:val="20"/>
                <w:szCs w:val="20"/>
                <w:lang w:val="en-US"/>
              </w:rPr>
              <w:t>Tricker, B. (2019). Corporate Governance: Principles, Policies, and Practices. OUP Oxford; 4 edition; ISBN-10: 0198809867</w:t>
            </w:r>
          </w:p>
          <w:p w:rsidR="00C61B47" w:rsidRDefault="00C61B47" w:rsidP="00C61B47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002D4">
              <w:rPr>
                <w:rFonts w:ascii="Arial" w:hAnsi="Arial" w:cs="Arial"/>
                <w:bCs/>
                <w:sz w:val="20"/>
                <w:szCs w:val="20"/>
                <w:lang w:val="en-US"/>
              </w:rPr>
              <w:t>Seal, W., Rohde, C., Garrison, R., Noreen, E. (2018). Management Accounting. McGraw-Hill; 6 edition; ISBN-10: 0077185536</w:t>
            </w:r>
          </w:p>
          <w:p w:rsidR="00C61B47" w:rsidRPr="007B1781" w:rsidRDefault="00C61B47" w:rsidP="00C61B47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7F0D">
              <w:rPr>
                <w:rFonts w:ascii="Arial" w:hAnsi="Arial" w:cs="Arial"/>
                <w:bCs/>
                <w:sz w:val="20"/>
                <w:szCs w:val="20"/>
                <w:lang w:val="en-US"/>
              </w:rPr>
              <w:t>Pike, R., Neale, B., Linsley, P., Akbar, S. (2018). Corporate Finance and Inves</w:t>
            </w:r>
            <w:r w:rsidR="00F30FD5">
              <w:rPr>
                <w:rFonts w:ascii="Arial" w:hAnsi="Arial" w:cs="Arial"/>
                <w:bCs/>
                <w:sz w:val="20"/>
                <w:szCs w:val="20"/>
                <w:lang w:val="en-US"/>
              </w:rPr>
              <w:t>tment: Decisions and Strategies;</w:t>
            </w:r>
            <w:r w:rsidRPr="00FB7F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9th Edition.</w:t>
            </w:r>
          </w:p>
        </w:tc>
      </w:tr>
      <w:tr w:rsidR="00C61B47" w:rsidRPr="00883F89" w:rsidTr="00C61B47">
        <w:trPr>
          <w:trHeight w:val="29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Assessment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C61B47" w:rsidRPr="007B1781" w:rsidRDefault="00C61B47" w:rsidP="00C61B47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847C5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Final Exam</w:t>
                  </w:r>
                </w:p>
              </w:tc>
            </w:tr>
            <w:tr w:rsidR="00847C5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Mid –Term / Tests / Quizzes</w:t>
                  </w:r>
                </w:p>
              </w:tc>
            </w:tr>
            <w:tr w:rsidR="00847C5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Assignments / Projects</w:t>
                  </w:r>
                </w:p>
              </w:tc>
            </w:tr>
            <w:tr w:rsidR="00847C5C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47C5C" w:rsidRPr="006B140D" w:rsidRDefault="00847C5C" w:rsidP="00847C5C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C61B47" w:rsidRPr="007B1781" w:rsidRDefault="00C61B47" w:rsidP="00C61B47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1B47" w:rsidRPr="00883F89" w:rsidTr="00C61B47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B47" w:rsidRPr="006B140D" w:rsidRDefault="00C61B47" w:rsidP="00C61B4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47" w:rsidRPr="007B1781" w:rsidRDefault="00C61B47" w:rsidP="00C61B4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823F3B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D4" w:rsidRDefault="00C823D4">
      <w:r>
        <w:separator/>
      </w:r>
    </w:p>
  </w:endnote>
  <w:endnote w:type="continuationSeparator" w:id="0">
    <w:p w:rsidR="00C823D4" w:rsidRDefault="00C8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FD0630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9E02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81441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D4" w:rsidRDefault="00C823D4">
      <w:r>
        <w:separator/>
      </w:r>
    </w:p>
  </w:footnote>
  <w:footnote w:type="continuationSeparator" w:id="0">
    <w:p w:rsidR="00C823D4" w:rsidRDefault="00C8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FD0630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86AE0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65E2D"/>
    <w:multiLevelType w:val="hybridMultilevel"/>
    <w:tmpl w:val="507E7F3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0E11"/>
    <w:multiLevelType w:val="hybridMultilevel"/>
    <w:tmpl w:val="C7ACACA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070"/>
    <w:multiLevelType w:val="hybridMultilevel"/>
    <w:tmpl w:val="2E107B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3A524A9"/>
    <w:multiLevelType w:val="hybridMultilevel"/>
    <w:tmpl w:val="57D4D64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CA8"/>
    <w:multiLevelType w:val="hybridMultilevel"/>
    <w:tmpl w:val="7690DD9A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DE70A30"/>
    <w:multiLevelType w:val="hybridMultilevel"/>
    <w:tmpl w:val="E48C58F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3B39"/>
    <w:multiLevelType w:val="hybridMultilevel"/>
    <w:tmpl w:val="816811A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2027"/>
    <w:multiLevelType w:val="hybridMultilevel"/>
    <w:tmpl w:val="7D66180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03AEE"/>
    <w:multiLevelType w:val="hybridMultilevel"/>
    <w:tmpl w:val="1A40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28FD"/>
    <w:multiLevelType w:val="hybridMultilevel"/>
    <w:tmpl w:val="6C5A0F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C0B49"/>
    <w:multiLevelType w:val="hybridMultilevel"/>
    <w:tmpl w:val="49E8C47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0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1" w15:restartNumberingAfterBreak="0">
    <w:nsid w:val="57367C3B"/>
    <w:multiLevelType w:val="hybridMultilevel"/>
    <w:tmpl w:val="5A42244E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46091"/>
    <w:multiLevelType w:val="hybridMultilevel"/>
    <w:tmpl w:val="E700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4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FEA66F4"/>
    <w:multiLevelType w:val="hybridMultilevel"/>
    <w:tmpl w:val="E308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30EAA"/>
    <w:multiLevelType w:val="hybridMultilevel"/>
    <w:tmpl w:val="8130934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24CD9"/>
    <w:multiLevelType w:val="hybridMultilevel"/>
    <w:tmpl w:val="CE540ED4"/>
    <w:lvl w:ilvl="0" w:tplc="174055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95FDC"/>
    <w:multiLevelType w:val="hybridMultilevel"/>
    <w:tmpl w:val="89E8ED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345FA"/>
    <w:multiLevelType w:val="hybridMultilevel"/>
    <w:tmpl w:val="B5DC5C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4E40C0"/>
    <w:multiLevelType w:val="hybridMultilevel"/>
    <w:tmpl w:val="631CA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36F2E"/>
    <w:multiLevelType w:val="hybridMultilevel"/>
    <w:tmpl w:val="31E2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23"/>
  </w:num>
  <w:num w:numId="11">
    <w:abstractNumId w:val="19"/>
  </w:num>
  <w:num w:numId="12">
    <w:abstractNumId w:val="6"/>
  </w:num>
  <w:num w:numId="13">
    <w:abstractNumId w:val="31"/>
  </w:num>
  <w:num w:numId="14">
    <w:abstractNumId w:val="25"/>
  </w:num>
  <w:num w:numId="15">
    <w:abstractNumId w:val="22"/>
  </w:num>
  <w:num w:numId="16">
    <w:abstractNumId w:val="16"/>
  </w:num>
  <w:num w:numId="17">
    <w:abstractNumId w:val="11"/>
  </w:num>
  <w:num w:numId="18">
    <w:abstractNumId w:val="14"/>
  </w:num>
  <w:num w:numId="19">
    <w:abstractNumId w:val="27"/>
  </w:num>
  <w:num w:numId="20">
    <w:abstractNumId w:val="18"/>
  </w:num>
  <w:num w:numId="21">
    <w:abstractNumId w:val="4"/>
  </w:num>
  <w:num w:numId="22">
    <w:abstractNumId w:val="10"/>
  </w:num>
  <w:num w:numId="23">
    <w:abstractNumId w:val="26"/>
  </w:num>
  <w:num w:numId="24">
    <w:abstractNumId w:val="21"/>
  </w:num>
  <w:num w:numId="25">
    <w:abstractNumId w:val="7"/>
  </w:num>
  <w:num w:numId="26">
    <w:abstractNumId w:val="5"/>
  </w:num>
  <w:num w:numId="27">
    <w:abstractNumId w:val="28"/>
  </w:num>
  <w:num w:numId="28">
    <w:abstractNumId w:val="13"/>
  </w:num>
  <w:num w:numId="29">
    <w:abstractNumId w:val="15"/>
  </w:num>
  <w:num w:numId="30">
    <w:abstractNumId w:val="17"/>
  </w:num>
  <w:num w:numId="31">
    <w:abstractNumId w:val="30"/>
  </w:num>
  <w:num w:numId="3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3918"/>
    <w:rsid w:val="000A7F53"/>
    <w:rsid w:val="000B021B"/>
    <w:rsid w:val="000C755D"/>
    <w:rsid w:val="000D758C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A98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3F64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42C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5CC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C7D78"/>
    <w:rsid w:val="002D0DCF"/>
    <w:rsid w:val="002D5FAF"/>
    <w:rsid w:val="002E11B6"/>
    <w:rsid w:val="002E5456"/>
    <w:rsid w:val="002E5604"/>
    <w:rsid w:val="002E7F15"/>
    <w:rsid w:val="002F0CA8"/>
    <w:rsid w:val="002F32BA"/>
    <w:rsid w:val="002F3566"/>
    <w:rsid w:val="002F5212"/>
    <w:rsid w:val="003072E6"/>
    <w:rsid w:val="003101D0"/>
    <w:rsid w:val="003149B6"/>
    <w:rsid w:val="00314D91"/>
    <w:rsid w:val="00316E96"/>
    <w:rsid w:val="00317674"/>
    <w:rsid w:val="00317BD7"/>
    <w:rsid w:val="00321518"/>
    <w:rsid w:val="00326837"/>
    <w:rsid w:val="00330752"/>
    <w:rsid w:val="00331029"/>
    <w:rsid w:val="00333D64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05"/>
    <w:rsid w:val="003A456F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07EE9"/>
    <w:rsid w:val="00414BE2"/>
    <w:rsid w:val="00417A4F"/>
    <w:rsid w:val="00422008"/>
    <w:rsid w:val="00423FD8"/>
    <w:rsid w:val="0042579A"/>
    <w:rsid w:val="00427F7E"/>
    <w:rsid w:val="0043001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A84"/>
    <w:rsid w:val="004A2B87"/>
    <w:rsid w:val="004B11E1"/>
    <w:rsid w:val="004B33A6"/>
    <w:rsid w:val="004B3ED6"/>
    <w:rsid w:val="004C4A8C"/>
    <w:rsid w:val="004D2BB9"/>
    <w:rsid w:val="004D3133"/>
    <w:rsid w:val="004D4ECD"/>
    <w:rsid w:val="004E37AA"/>
    <w:rsid w:val="004E3E68"/>
    <w:rsid w:val="004F2AA6"/>
    <w:rsid w:val="00503C29"/>
    <w:rsid w:val="005046F3"/>
    <w:rsid w:val="005079D8"/>
    <w:rsid w:val="00513094"/>
    <w:rsid w:val="005165B6"/>
    <w:rsid w:val="005273A0"/>
    <w:rsid w:val="005275F7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633"/>
    <w:rsid w:val="005B3F16"/>
    <w:rsid w:val="005B4395"/>
    <w:rsid w:val="005B6160"/>
    <w:rsid w:val="005C0AA2"/>
    <w:rsid w:val="005C10F0"/>
    <w:rsid w:val="005C4369"/>
    <w:rsid w:val="005C4DBA"/>
    <w:rsid w:val="005C4FD5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26E76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0467"/>
    <w:rsid w:val="006918F8"/>
    <w:rsid w:val="0069294A"/>
    <w:rsid w:val="00694BB9"/>
    <w:rsid w:val="00695406"/>
    <w:rsid w:val="006971F2"/>
    <w:rsid w:val="006A398E"/>
    <w:rsid w:val="006A407F"/>
    <w:rsid w:val="006B0AC1"/>
    <w:rsid w:val="006B140D"/>
    <w:rsid w:val="006B21D6"/>
    <w:rsid w:val="006C06B8"/>
    <w:rsid w:val="006C3CD8"/>
    <w:rsid w:val="006C3D37"/>
    <w:rsid w:val="006C6778"/>
    <w:rsid w:val="006D4523"/>
    <w:rsid w:val="006D4C7D"/>
    <w:rsid w:val="006E26F6"/>
    <w:rsid w:val="006E59DB"/>
    <w:rsid w:val="006E790A"/>
    <w:rsid w:val="006E7D78"/>
    <w:rsid w:val="006F5BE0"/>
    <w:rsid w:val="006F7590"/>
    <w:rsid w:val="006F772D"/>
    <w:rsid w:val="006F79A5"/>
    <w:rsid w:val="007002D4"/>
    <w:rsid w:val="007072E1"/>
    <w:rsid w:val="007100D9"/>
    <w:rsid w:val="0071572A"/>
    <w:rsid w:val="007225D9"/>
    <w:rsid w:val="00723814"/>
    <w:rsid w:val="00724A70"/>
    <w:rsid w:val="0073151C"/>
    <w:rsid w:val="00731893"/>
    <w:rsid w:val="00732D4E"/>
    <w:rsid w:val="00734E6B"/>
    <w:rsid w:val="007351BB"/>
    <w:rsid w:val="00735CD0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21E0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6551"/>
    <w:rsid w:val="007A775E"/>
    <w:rsid w:val="007B1642"/>
    <w:rsid w:val="007B1781"/>
    <w:rsid w:val="007B18D0"/>
    <w:rsid w:val="007B386B"/>
    <w:rsid w:val="007C3A0C"/>
    <w:rsid w:val="007D196B"/>
    <w:rsid w:val="007D6F08"/>
    <w:rsid w:val="007E07C0"/>
    <w:rsid w:val="007E145F"/>
    <w:rsid w:val="007E4934"/>
    <w:rsid w:val="007E512A"/>
    <w:rsid w:val="007E6353"/>
    <w:rsid w:val="007E659A"/>
    <w:rsid w:val="007F3B0D"/>
    <w:rsid w:val="007F4F24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4DB1"/>
    <w:rsid w:val="00836A30"/>
    <w:rsid w:val="00840B4B"/>
    <w:rsid w:val="00846B9B"/>
    <w:rsid w:val="00847C5C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506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37927"/>
    <w:rsid w:val="00941173"/>
    <w:rsid w:val="0094647F"/>
    <w:rsid w:val="009511AC"/>
    <w:rsid w:val="00955407"/>
    <w:rsid w:val="009560E0"/>
    <w:rsid w:val="009677A7"/>
    <w:rsid w:val="00972BCD"/>
    <w:rsid w:val="0097409D"/>
    <w:rsid w:val="0097498E"/>
    <w:rsid w:val="009779D8"/>
    <w:rsid w:val="00977C62"/>
    <w:rsid w:val="00982030"/>
    <w:rsid w:val="00983E48"/>
    <w:rsid w:val="009840B7"/>
    <w:rsid w:val="009908BA"/>
    <w:rsid w:val="00991F74"/>
    <w:rsid w:val="00992C25"/>
    <w:rsid w:val="009A039A"/>
    <w:rsid w:val="009A048C"/>
    <w:rsid w:val="009A75E8"/>
    <w:rsid w:val="009A7B09"/>
    <w:rsid w:val="009B0A8D"/>
    <w:rsid w:val="009B1172"/>
    <w:rsid w:val="009B4101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37CB"/>
    <w:rsid w:val="00A44CD9"/>
    <w:rsid w:val="00A4653A"/>
    <w:rsid w:val="00A4726C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233F"/>
    <w:rsid w:val="00AC6AAC"/>
    <w:rsid w:val="00AD0CCD"/>
    <w:rsid w:val="00AD247F"/>
    <w:rsid w:val="00AD33D5"/>
    <w:rsid w:val="00AD389D"/>
    <w:rsid w:val="00AD51D9"/>
    <w:rsid w:val="00AE12B7"/>
    <w:rsid w:val="00AE278B"/>
    <w:rsid w:val="00AE2A71"/>
    <w:rsid w:val="00AE3556"/>
    <w:rsid w:val="00AF137C"/>
    <w:rsid w:val="00AF1A23"/>
    <w:rsid w:val="00AF1F13"/>
    <w:rsid w:val="00AF6688"/>
    <w:rsid w:val="00B0704E"/>
    <w:rsid w:val="00B14BC1"/>
    <w:rsid w:val="00B155DF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2932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1E66"/>
    <w:rsid w:val="00C03B3E"/>
    <w:rsid w:val="00C115CF"/>
    <w:rsid w:val="00C13A15"/>
    <w:rsid w:val="00C168E0"/>
    <w:rsid w:val="00C2038F"/>
    <w:rsid w:val="00C2691D"/>
    <w:rsid w:val="00C2770A"/>
    <w:rsid w:val="00C35807"/>
    <w:rsid w:val="00C371B7"/>
    <w:rsid w:val="00C4109B"/>
    <w:rsid w:val="00C44750"/>
    <w:rsid w:val="00C452D9"/>
    <w:rsid w:val="00C4770D"/>
    <w:rsid w:val="00C515B7"/>
    <w:rsid w:val="00C57407"/>
    <w:rsid w:val="00C61B47"/>
    <w:rsid w:val="00C66537"/>
    <w:rsid w:val="00C67C7B"/>
    <w:rsid w:val="00C736D7"/>
    <w:rsid w:val="00C73A51"/>
    <w:rsid w:val="00C76764"/>
    <w:rsid w:val="00C823D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3743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768E8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6148"/>
    <w:rsid w:val="00DB07B5"/>
    <w:rsid w:val="00DB467C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5128"/>
    <w:rsid w:val="00E43D14"/>
    <w:rsid w:val="00E44337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77AFF"/>
    <w:rsid w:val="00E81417"/>
    <w:rsid w:val="00E8609D"/>
    <w:rsid w:val="00E9165C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1445"/>
    <w:rsid w:val="00F03ECF"/>
    <w:rsid w:val="00F13325"/>
    <w:rsid w:val="00F16F65"/>
    <w:rsid w:val="00F2101A"/>
    <w:rsid w:val="00F22C52"/>
    <w:rsid w:val="00F24714"/>
    <w:rsid w:val="00F24CAF"/>
    <w:rsid w:val="00F27D80"/>
    <w:rsid w:val="00F30FD5"/>
    <w:rsid w:val="00F3217B"/>
    <w:rsid w:val="00F3282B"/>
    <w:rsid w:val="00F32DEA"/>
    <w:rsid w:val="00F34152"/>
    <w:rsid w:val="00F413D7"/>
    <w:rsid w:val="00F4468F"/>
    <w:rsid w:val="00F46E20"/>
    <w:rsid w:val="00F50D86"/>
    <w:rsid w:val="00F5151A"/>
    <w:rsid w:val="00F5515A"/>
    <w:rsid w:val="00F5590F"/>
    <w:rsid w:val="00F56415"/>
    <w:rsid w:val="00F57A9F"/>
    <w:rsid w:val="00F6146D"/>
    <w:rsid w:val="00F620B3"/>
    <w:rsid w:val="00F66889"/>
    <w:rsid w:val="00F66B76"/>
    <w:rsid w:val="00F66C7D"/>
    <w:rsid w:val="00F67C71"/>
    <w:rsid w:val="00F70E47"/>
    <w:rsid w:val="00F73379"/>
    <w:rsid w:val="00F757CA"/>
    <w:rsid w:val="00F75963"/>
    <w:rsid w:val="00F80930"/>
    <w:rsid w:val="00F8214C"/>
    <w:rsid w:val="00F826E8"/>
    <w:rsid w:val="00F900EF"/>
    <w:rsid w:val="00F92715"/>
    <w:rsid w:val="00F949F9"/>
    <w:rsid w:val="00FA14D1"/>
    <w:rsid w:val="00FA1A1D"/>
    <w:rsid w:val="00FA388C"/>
    <w:rsid w:val="00FA4F05"/>
    <w:rsid w:val="00FB0134"/>
    <w:rsid w:val="00FB2C1B"/>
    <w:rsid w:val="00FB45B0"/>
    <w:rsid w:val="00FB499A"/>
    <w:rsid w:val="00FB7F0D"/>
    <w:rsid w:val="00FC09FB"/>
    <w:rsid w:val="00FC12CE"/>
    <w:rsid w:val="00FC52ED"/>
    <w:rsid w:val="00FC6247"/>
    <w:rsid w:val="00FC7E0B"/>
    <w:rsid w:val="00FD02B4"/>
    <w:rsid w:val="00FD0630"/>
    <w:rsid w:val="00FD1212"/>
    <w:rsid w:val="00FD1FA6"/>
    <w:rsid w:val="00FD5724"/>
    <w:rsid w:val="00FD638D"/>
    <w:rsid w:val="00FE02BB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20A3C945-3E3E-47B5-9225-CFDED6A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C753-FABF-4C06-A970-2EBC70B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2</cp:revision>
  <cp:lastPrinted>2011-12-13T13:26:00Z</cp:lastPrinted>
  <dcterms:created xsi:type="dcterms:W3CDTF">2020-09-09T07:40:00Z</dcterms:created>
  <dcterms:modified xsi:type="dcterms:W3CDTF">2020-09-09T07:40:00Z</dcterms:modified>
</cp:coreProperties>
</file>