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1805"/>
        <w:gridCol w:w="1401"/>
        <w:gridCol w:w="1980"/>
        <w:gridCol w:w="811"/>
        <w:gridCol w:w="449"/>
        <w:gridCol w:w="1592"/>
        <w:gridCol w:w="529"/>
        <w:gridCol w:w="1213"/>
      </w:tblGrid>
      <w:tr w:rsidR="005E0203" w:rsidRPr="00883F89" w:rsidTr="00CE6DC1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165C5" w:rsidRDefault="00082BF9" w:rsidP="007165C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7165C5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Managing Organizational Development &amp; Change</w:t>
            </w:r>
          </w:p>
        </w:tc>
      </w:tr>
      <w:tr w:rsidR="005E0203" w:rsidRPr="00883F89" w:rsidTr="00CE6DC1">
        <w:trPr>
          <w:trHeight w:val="1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165C5" w:rsidRDefault="00DE5927" w:rsidP="007165C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165C5">
              <w:rPr>
                <w:rFonts w:ascii="Arial" w:hAnsi="Arial" w:cs="Arial"/>
                <w:sz w:val="20"/>
                <w:szCs w:val="20"/>
                <w:lang w:val="en-US" w:eastAsia="en-GB"/>
              </w:rPr>
              <w:t>TMBA - 240</w:t>
            </w:r>
          </w:p>
        </w:tc>
      </w:tr>
      <w:tr w:rsidR="0037080D" w:rsidRPr="00D62598" w:rsidTr="00CE6DC1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080D" w:rsidRPr="006B140D" w:rsidRDefault="0037080D" w:rsidP="0037080D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80D" w:rsidRPr="007B1781" w:rsidRDefault="0037080D" w:rsidP="0037080D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an Elective</w:t>
            </w:r>
          </w:p>
        </w:tc>
      </w:tr>
      <w:tr w:rsidR="0037080D" w:rsidRPr="00883F89" w:rsidTr="00CE6DC1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080D" w:rsidRPr="006B140D" w:rsidRDefault="0037080D" w:rsidP="0037080D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80D" w:rsidRPr="003702D5" w:rsidRDefault="0037080D" w:rsidP="0037080D">
            <w:pPr>
              <w:pStyle w:val="ListParagraph"/>
              <w:spacing w:before="120" w:after="120"/>
              <w:ind w:left="0"/>
              <w:jc w:val="both"/>
              <w:rPr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CE6DC1" w:rsidRPr="00883F89" w:rsidTr="00CE6DC1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6DC1" w:rsidRPr="006B140D" w:rsidRDefault="00CE6DC1" w:rsidP="00CE6DC1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DC1" w:rsidRPr="00CE6DC1" w:rsidRDefault="00CE6DC1" w:rsidP="003708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6DC1">
              <w:rPr>
                <w:rFonts w:ascii="Arial" w:hAnsi="Arial" w:cs="Arial"/>
                <w:sz w:val="20"/>
                <w:szCs w:val="20"/>
                <w:lang w:val="en-GB"/>
              </w:rPr>
              <w:t xml:space="preserve">Year 1, </w:t>
            </w:r>
            <w:r w:rsidR="00DE5927">
              <w:rPr>
                <w:rFonts w:ascii="Arial" w:hAnsi="Arial" w:cs="Arial"/>
                <w:sz w:val="20"/>
                <w:szCs w:val="20"/>
                <w:lang w:val="en-GB"/>
              </w:rPr>
              <w:t xml:space="preserve">A, </w:t>
            </w:r>
            <w:r w:rsidRPr="00CE6DC1">
              <w:rPr>
                <w:rFonts w:ascii="Arial" w:hAnsi="Arial" w:cs="Arial"/>
                <w:sz w:val="20"/>
                <w:szCs w:val="20"/>
                <w:lang w:val="en-GB"/>
              </w:rPr>
              <w:t>B’ Semester</w:t>
            </w:r>
          </w:p>
        </w:tc>
      </w:tr>
      <w:tr w:rsidR="00D62598" w:rsidRPr="00883F89" w:rsidTr="00CE6DC1">
        <w:trPr>
          <w:trHeight w:val="50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2598" w:rsidRPr="006B140D" w:rsidRDefault="00D62598" w:rsidP="00D6259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bookmarkStart w:id="0" w:name="_GoBack" w:colFirst="1" w:colLast="1"/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598" w:rsidRPr="00740CD4" w:rsidRDefault="00D62598" w:rsidP="00D6259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Panikos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Constanti </w:t>
            </w:r>
          </w:p>
        </w:tc>
      </w:tr>
      <w:bookmarkEnd w:id="0"/>
      <w:tr w:rsidR="005E0203" w:rsidRPr="00883F89" w:rsidTr="00CE6DC1">
        <w:trPr>
          <w:trHeight w:val="6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="001B4A45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  <w:r w:rsidR="001B4A45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BD457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="001B4A45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  <w:r w:rsidR="001B4A45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D62598" w:rsidTr="00CE6DC1">
        <w:trPr>
          <w:trHeight w:val="23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16E" w:rsidRPr="002940E5" w:rsidRDefault="002940E5" w:rsidP="002940E5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The </w:t>
            </w:r>
            <w:r w:rsidR="001B3706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course</w:t>
            </w:r>
            <w:r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is designed to provide students with the ability to develop an appreciation of the complexities and challenges raised b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y organizational change in the ‘real world’</w:t>
            </w:r>
            <w:r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and to comprehend selection, feedba</w:t>
            </w:r>
            <w:r w:rsidR="00215AF1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ck, resistance, implementation and </w:t>
            </w:r>
            <w:r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evaluation criteria in change management. </w:t>
            </w:r>
          </w:p>
          <w:p w:rsidR="003D3F35" w:rsidRPr="002940E5" w:rsidRDefault="003D3F35" w:rsidP="00FE516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3F35" w:rsidRPr="001B3706" w:rsidRDefault="001B3706" w:rsidP="003D3F3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706">
              <w:rPr>
                <w:rFonts w:ascii="Arial" w:hAnsi="Arial" w:cs="Arial"/>
                <w:sz w:val="20"/>
                <w:szCs w:val="20"/>
                <w:lang w:val="en-US"/>
              </w:rPr>
              <w:t>Students are expected to</w:t>
            </w:r>
            <w:r w:rsidR="003D3F35" w:rsidRPr="001B37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1B3706" w:rsidRDefault="001B3706" w:rsidP="001B3706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Comprehend</w:t>
            </w:r>
            <w:r w:rsidR="002940E5"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 variety of theoretical underpinnings with reference to stages of change,</w:t>
            </w:r>
          </w:p>
          <w:p w:rsidR="001B3706" w:rsidRDefault="001B3706" w:rsidP="001B3706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Recognize </w:t>
            </w:r>
            <w:r w:rsidR="002940E5"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the role of external and internal agents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of change</w:t>
            </w:r>
            <w:r w:rsidR="002940E5"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:rsidR="001F5E37" w:rsidRPr="002940E5" w:rsidRDefault="001B3706" w:rsidP="001B3706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Implement </w:t>
            </w:r>
            <w:r w:rsidR="002940E5"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concepts and methods for exploring the introduction of management innovations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and development </w:t>
            </w:r>
            <w:r w:rsidR="002940E5" w:rsidRPr="002940E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to organizations. </w:t>
            </w:r>
          </w:p>
          <w:p w:rsidR="005E0203" w:rsidRPr="00E43D14" w:rsidRDefault="005E0203" w:rsidP="001F5E37">
            <w:p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5E0203" w:rsidRPr="00D62598" w:rsidTr="00CE6DC1">
        <w:trPr>
          <w:trHeight w:val="44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Learning Outcomes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5E0203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2940E5" w:rsidRDefault="002940E5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2940E5" w:rsidRPr="00356FA7" w:rsidRDefault="002940E5" w:rsidP="00356FA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>Think critically and creativ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ely about organizational change;</w:t>
            </w:r>
          </w:p>
          <w:p w:rsidR="00356FA7" w:rsidRDefault="00356FA7" w:rsidP="00356FA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 xml:space="preserve">Work critically with the theory and practice of organizational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and 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change management;</w:t>
            </w:r>
          </w:p>
          <w:p w:rsidR="002940E5" w:rsidRPr="00356FA7" w:rsidRDefault="002940E5" w:rsidP="00356FA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>Understand key the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ories, approaches, and concepts;</w:t>
            </w:r>
          </w:p>
          <w:p w:rsidR="002940E5" w:rsidRPr="00356FA7" w:rsidRDefault="002940E5" w:rsidP="00356FA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>Understand the</w:t>
            </w:r>
            <w:r w:rsidR="007C604F">
              <w:rPr>
                <w:rFonts w:ascii="Arial" w:hAnsi="Arial" w:cs="Arial"/>
                <w:sz w:val="20"/>
                <w:szCs w:val="20"/>
                <w:lang w:val="en-GB"/>
              </w:rPr>
              <w:t xml:space="preserve"> reasons why change takes place and </w:t>
            </w: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>why it is a continual p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reoccupation for organizations;</w:t>
            </w:r>
          </w:p>
          <w:p w:rsidR="002940E5" w:rsidRPr="00356FA7" w:rsidRDefault="00356FA7" w:rsidP="00356FA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>Understand the complexities involved</w:t>
            </w:r>
            <w:r w:rsidR="002940E5" w:rsidRPr="00356FA7">
              <w:rPr>
                <w:rFonts w:ascii="Arial" w:hAnsi="Arial" w:cs="Arial"/>
                <w:sz w:val="20"/>
                <w:szCs w:val="20"/>
                <w:lang w:val="en-GB"/>
              </w:rPr>
              <w:t xml:space="preserve"> in leading, man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aging, and coping with change;</w:t>
            </w:r>
          </w:p>
          <w:p w:rsidR="002940E5" w:rsidRPr="00356FA7" w:rsidRDefault="002940E5" w:rsidP="00356FA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>Read and work with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po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litics of organizational change;</w:t>
            </w:r>
          </w:p>
          <w:p w:rsidR="002940E5" w:rsidRPr="00356FA7" w:rsidRDefault="002940E5" w:rsidP="002940E5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>Explore the themes of resistance and opposition to change</w:t>
            </w:r>
            <w:r w:rsidR="005E2521">
              <w:rPr>
                <w:rFonts w:ascii="Arial" w:hAnsi="Arial" w:cs="Arial"/>
                <w:sz w:val="20"/>
                <w:szCs w:val="20"/>
                <w:lang w:val="en-GB"/>
              </w:rPr>
              <w:t xml:space="preserve"> and how these emerge</w:t>
            </w: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 xml:space="preserve"> within orga</w:t>
            </w:r>
            <w:r w:rsidR="0037080D">
              <w:rPr>
                <w:rFonts w:ascii="Arial" w:hAnsi="Arial" w:cs="Arial"/>
                <w:sz w:val="20"/>
                <w:szCs w:val="20"/>
                <w:lang w:val="en-GB"/>
              </w:rPr>
              <w:t>nizations, groups, and oneself.;</w:t>
            </w:r>
          </w:p>
          <w:p w:rsidR="00817000" w:rsidRPr="00356FA7" w:rsidRDefault="002940E5" w:rsidP="00356FA7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6FA7">
              <w:rPr>
                <w:rFonts w:ascii="Arial" w:hAnsi="Arial" w:cs="Arial"/>
                <w:sz w:val="20"/>
                <w:szCs w:val="20"/>
                <w:lang w:val="en-GB"/>
              </w:rPr>
              <w:t xml:space="preserve">Reflect critically on own experiences of change within organizations and </w:t>
            </w:r>
            <w:r w:rsidR="00356FA7">
              <w:rPr>
                <w:rFonts w:ascii="Arial" w:hAnsi="Arial" w:cs="Arial"/>
                <w:sz w:val="20"/>
                <w:szCs w:val="20"/>
                <w:lang w:val="en-GB"/>
              </w:rPr>
              <w:t>in your learning on the module.</w:t>
            </w:r>
          </w:p>
        </w:tc>
      </w:tr>
      <w:tr w:rsidR="005E0203" w:rsidRPr="00883F89" w:rsidTr="00CE6DC1">
        <w:trPr>
          <w:trHeight w:val="4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B2781" w:rsidRDefault="0037080D" w:rsidP="00454CC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Default="0037080D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Elective</w:t>
            </w:r>
          </w:p>
          <w:p w:rsidR="0037080D" w:rsidRPr="00FD1FA6" w:rsidRDefault="0037080D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CE6DC1">
        <w:trPr>
          <w:trHeight w:val="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Course Content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FA7" w:rsidRPr="00FA43FD" w:rsidRDefault="00356FA7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3FD">
              <w:rPr>
                <w:rFonts w:ascii="Arial" w:hAnsi="Arial" w:cs="Arial"/>
                <w:sz w:val="20"/>
                <w:szCs w:val="20"/>
                <w:lang w:val="en-GB"/>
              </w:rPr>
              <w:t xml:space="preserve">The causes of change </w:t>
            </w:r>
          </w:p>
          <w:p w:rsidR="00356FA7" w:rsidRPr="00FA43FD" w:rsidRDefault="00351B7B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Types</w:t>
            </w:r>
            <w:r w:rsidR="00356FA7" w:rsidRPr="00FA43FD">
              <w:rPr>
                <w:rFonts w:ascii="Arial" w:hAnsi="Arial" w:cs="Arial"/>
                <w:sz w:val="20"/>
                <w:szCs w:val="20"/>
                <w:lang w:val="en-GB"/>
              </w:rPr>
              <w:t xml:space="preserve"> of change </w:t>
            </w:r>
          </w:p>
          <w:p w:rsidR="00351B7B" w:rsidRDefault="00356FA7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3FD">
              <w:rPr>
                <w:rFonts w:ascii="Arial" w:hAnsi="Arial" w:cs="Arial"/>
                <w:sz w:val="20"/>
                <w:szCs w:val="20"/>
                <w:lang w:val="en-GB"/>
              </w:rPr>
              <w:t>Evolutionary and emergent change</w:t>
            </w:r>
          </w:p>
          <w:p w:rsidR="00356FA7" w:rsidRPr="00FA43FD" w:rsidRDefault="00351B7B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Culture and change</w:t>
            </w:r>
            <w:r w:rsidR="00356FA7" w:rsidRPr="00FA43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56FA7" w:rsidRPr="00FA43FD" w:rsidRDefault="00356FA7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3FD">
              <w:rPr>
                <w:rFonts w:ascii="Arial" w:hAnsi="Arial" w:cs="Arial"/>
                <w:sz w:val="20"/>
                <w:szCs w:val="20"/>
                <w:lang w:val="en-GB"/>
              </w:rPr>
              <w:t xml:space="preserve">Power, politics, and change </w:t>
            </w:r>
          </w:p>
          <w:p w:rsidR="00356FA7" w:rsidRPr="00FA43FD" w:rsidRDefault="00356FA7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3FD">
              <w:rPr>
                <w:rFonts w:ascii="Arial" w:hAnsi="Arial" w:cs="Arial"/>
                <w:sz w:val="20"/>
                <w:szCs w:val="20"/>
                <w:lang w:val="en-GB"/>
              </w:rPr>
              <w:t xml:space="preserve">Resistance to change  </w:t>
            </w:r>
          </w:p>
          <w:p w:rsidR="00356FA7" w:rsidRDefault="00356FA7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3FD">
              <w:rPr>
                <w:rFonts w:ascii="Arial" w:hAnsi="Arial" w:cs="Arial"/>
                <w:sz w:val="20"/>
                <w:szCs w:val="20"/>
                <w:lang w:val="en-GB"/>
              </w:rPr>
              <w:t xml:space="preserve">Leadership, learning and change </w:t>
            </w:r>
          </w:p>
          <w:p w:rsidR="00351B7B" w:rsidRPr="00FA43FD" w:rsidRDefault="00351B7B" w:rsidP="00356FA7">
            <w:pPr>
              <w:pStyle w:val="BodyTextIndent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change</w:t>
            </w:r>
          </w:p>
          <w:p w:rsidR="005B6160" w:rsidRPr="0037080D" w:rsidRDefault="0037080D" w:rsidP="0037080D">
            <w:pPr>
              <w:pStyle w:val="BodyTextIndent"/>
              <w:numPr>
                <w:ilvl w:val="0"/>
                <w:numId w:val="13"/>
              </w:numPr>
              <w:spacing w:before="120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Evaluating change</w:t>
            </w:r>
          </w:p>
        </w:tc>
      </w:tr>
      <w:tr w:rsidR="005E0203" w:rsidRPr="00D62598" w:rsidTr="00CE6DC1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927" w:rsidRPr="00BC2598" w:rsidRDefault="00DE5927" w:rsidP="00DE5927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C61B47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case-studies and exercises, debates, demonstrations and discussion, educational visits, digital learning, flip learning method, coaching-mentoring, project-based learning method, work-based learning method, presentations by visitors etc.</w:t>
            </w:r>
          </w:p>
        </w:tc>
      </w:tr>
      <w:tr w:rsidR="005E0203" w:rsidRPr="00883F89" w:rsidTr="00CE6DC1">
        <w:trPr>
          <w:trHeight w:val="5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CE6DC1">
        <w:trPr>
          <w:trHeight w:val="20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D62598" w:rsidTr="00CE6DC1">
        <w:trPr>
          <w:trHeight w:val="60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80D" w:rsidRPr="00A95CF6" w:rsidRDefault="00A95CF6" w:rsidP="00A95CF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Senior, B., </w:t>
            </w: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Swailes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, S., and </w:t>
            </w: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Carnall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>, C. (2020) Organizational Change; 6</w:t>
            </w:r>
            <w:r w:rsidRPr="00A95CF6">
              <w:rPr>
                <w:rFonts w:ascii="Arial" w:hAnsi="Arial" w:cs="Arial"/>
                <w:bCs/>
                <w:kern w:val="36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en-US"/>
              </w:rPr>
              <w:t xml:space="preserve"> Edition; </w:t>
            </w:r>
            <w:r w:rsidR="0024580D" w:rsidRPr="0024580D">
              <w:rPr>
                <w:rFonts w:ascii="Arial" w:hAnsi="Arial" w:cs="Arial"/>
                <w:bCs/>
                <w:sz w:val="20"/>
                <w:szCs w:val="20"/>
                <w:lang w:val="en-US"/>
              </w:rPr>
              <w:t>ISBN-13:</w:t>
            </w:r>
            <w:r w:rsidR="0024580D" w:rsidRPr="0024580D">
              <w:rPr>
                <w:rFonts w:ascii="Arial" w:hAnsi="Arial" w:cs="Arial"/>
                <w:sz w:val="20"/>
                <w:szCs w:val="20"/>
                <w:lang w:val="en-US"/>
              </w:rPr>
              <w:t xml:space="preserve"> 978-1292243436.</w:t>
            </w:r>
          </w:p>
        </w:tc>
      </w:tr>
      <w:tr w:rsidR="005E0203" w:rsidRPr="00883F89" w:rsidTr="00CE6DC1">
        <w:trPr>
          <w:trHeight w:val="25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883F89" w:rsidTr="00CE6DC1">
        <w:trPr>
          <w:trHeight w:val="177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33D" w:rsidRDefault="00F6233D" w:rsidP="0037080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Burnes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B.,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Hassard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J. (eds.) (2015) </w:t>
            </w:r>
            <w:r w:rsidRPr="00A95CF6">
              <w:rPr>
                <w:rFonts w:ascii="Arial" w:hAnsi="Arial" w:cs="Arial"/>
                <w:sz w:val="20"/>
                <w:szCs w:val="20"/>
                <w:lang w:val="en-US"/>
              </w:rPr>
              <w:t>The Routledge Companion to Organization Change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London and New York: Routledge.</w:t>
            </w:r>
          </w:p>
          <w:p w:rsidR="000B6B9A" w:rsidRPr="000B6B9A" w:rsidRDefault="000B6B9A" w:rsidP="0037080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 xml:space="preserve">Morgan, G. and Spicer, A. (2009)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>Critical Approaches to Organizati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onal Change’. In</w:t>
            </w: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 xml:space="preserve"> Alvesson,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M., </w:t>
            </w: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>T. Bridgman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T., and </w:t>
            </w: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 xml:space="preserve">Willmott,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H. (</w:t>
            </w: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>eds.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95CF6">
              <w:rPr>
                <w:rFonts w:ascii="Arial" w:hAnsi="Arial" w:cs="Arial"/>
                <w:sz w:val="20"/>
                <w:szCs w:val="20"/>
                <w:lang w:val="en-US"/>
              </w:rPr>
              <w:t>The Oxford Handbook of Critical Management Studies</w:t>
            </w:r>
            <w:r w:rsidRPr="000B6B9A">
              <w:rPr>
                <w:rFonts w:ascii="Arial" w:hAnsi="Arial" w:cs="Arial"/>
                <w:sz w:val="20"/>
                <w:szCs w:val="20"/>
                <w:lang w:val="en-US"/>
              </w:rPr>
              <w:t xml:space="preserve">. Oxford: Oxford University Press. </w:t>
            </w:r>
          </w:p>
          <w:p w:rsidR="000B6B9A" w:rsidRDefault="000B6B9A" w:rsidP="0037080D">
            <w:pPr>
              <w:spacing w:before="120" w:after="12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6B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Pettigrew A. (2012) </w:t>
            </w:r>
            <w:r w:rsidR="006238E3">
              <w:rPr>
                <w:rFonts w:ascii="Arial" w:hAnsi="Arial" w:cs="Arial"/>
                <w:bCs/>
                <w:sz w:val="20"/>
                <w:szCs w:val="20"/>
                <w:lang w:val="en-US"/>
              </w:rPr>
              <w:t>‘</w:t>
            </w:r>
            <w:r w:rsidRPr="000B6B9A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Context and Action in the Transformation of the Firm: A Reprise</w:t>
            </w:r>
            <w:r w:rsidR="006238E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’, A </w:t>
            </w:r>
            <w:r w:rsidR="006238E3" w:rsidRPr="00A95CF6">
              <w:rPr>
                <w:rFonts w:ascii="Arial" w:hAnsi="Arial" w:cs="Arial"/>
                <w:bCs/>
                <w:sz w:val="20"/>
                <w:szCs w:val="20"/>
                <w:lang w:val="en-US"/>
              </w:rPr>
              <w:t>Journal of Management Studies</w:t>
            </w:r>
            <w:r w:rsidR="006238E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49(7): 1304-1328. </w:t>
            </w:r>
            <w:r w:rsidRPr="000B6B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A95CF6" w:rsidRPr="00A95CF6" w:rsidRDefault="00A95CF6" w:rsidP="0037080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479">
              <w:rPr>
                <w:rFonts w:ascii="Arial" w:hAnsi="Arial" w:cs="Arial"/>
                <w:sz w:val="20"/>
                <w:szCs w:val="20"/>
                <w:lang w:val="en-US"/>
              </w:rPr>
              <w:t xml:space="preserve">Demers, C. (2007) </w:t>
            </w:r>
            <w:r w:rsidRPr="00B37479">
              <w:rPr>
                <w:rFonts w:ascii="Arial" w:hAnsi="Arial" w:cs="Arial"/>
                <w:i/>
                <w:sz w:val="20"/>
                <w:szCs w:val="20"/>
                <w:lang w:val="en-US"/>
              </w:rPr>
              <w:t>Organizational Change Theories: A Synthesis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London: Sage.</w:t>
            </w:r>
          </w:p>
          <w:p w:rsidR="0048144D" w:rsidRDefault="0048144D" w:rsidP="0037080D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7080D" w:rsidRDefault="0037080D" w:rsidP="0037080D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7080D" w:rsidRDefault="0037080D" w:rsidP="0037080D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7080D" w:rsidRPr="00105933" w:rsidRDefault="0037080D" w:rsidP="0037080D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E0203" w:rsidRPr="00883F89" w:rsidTr="00CE6DC1">
        <w:trPr>
          <w:trHeight w:val="29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8144D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351B7B" w:rsidRPr="00351B7B" w:rsidTr="00A949A4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351B7B" w:rsidRPr="00351B7B" w:rsidTr="00A949A4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351B7B" w:rsidRPr="00351B7B" w:rsidTr="00A949A4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351B7B" w:rsidRPr="00351B7B" w:rsidTr="00A949A4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51B7B" w:rsidRPr="00351B7B" w:rsidRDefault="00351B7B" w:rsidP="00351B7B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51B7B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CE6DC1">
        <w:trPr>
          <w:trHeight w:val="25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Language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823F3B" w:rsidRPr="005079D8" w:rsidRDefault="00823F3B" w:rsidP="0022716F">
      <w:pPr>
        <w:rPr>
          <w:rFonts w:ascii="Arial" w:hAnsi="Arial" w:cs="Arial"/>
          <w:color w:val="FF0000"/>
          <w:sz w:val="44"/>
          <w:szCs w:val="44"/>
          <w:lang w:val="en-US" w:eastAsia="en-US"/>
        </w:rPr>
      </w:pPr>
      <w:r w:rsidRPr="005079D8">
        <w:rPr>
          <w:rFonts w:ascii="Arial" w:hAnsi="Arial" w:cs="Arial"/>
          <w:color w:val="FF0000"/>
          <w:sz w:val="44"/>
          <w:szCs w:val="44"/>
          <w:lang w:val="en-US" w:eastAsia="en-US"/>
        </w:rPr>
        <w:t xml:space="preserve"> </w:t>
      </w:r>
    </w:p>
    <w:sectPr w:rsidR="00823F3B" w:rsidRPr="005079D8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0A" w:rsidRDefault="005F4C0A">
      <w:r>
        <w:separator/>
      </w:r>
    </w:p>
  </w:endnote>
  <w:endnote w:type="continuationSeparator" w:id="0">
    <w:p w:rsidR="005F4C0A" w:rsidRDefault="005F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7165C5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BA51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3020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0A" w:rsidRDefault="005F4C0A">
      <w:r>
        <w:separator/>
      </w:r>
    </w:p>
  </w:footnote>
  <w:footnote w:type="continuationSeparator" w:id="0">
    <w:p w:rsidR="005F4C0A" w:rsidRDefault="005F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AF4F55"/>
    <w:multiLevelType w:val="hybridMultilevel"/>
    <w:tmpl w:val="84CA9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138"/>
    <w:multiLevelType w:val="hybridMultilevel"/>
    <w:tmpl w:val="0F90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7BF328C"/>
    <w:multiLevelType w:val="hybridMultilevel"/>
    <w:tmpl w:val="E48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FBF6638"/>
    <w:multiLevelType w:val="hybridMultilevel"/>
    <w:tmpl w:val="42309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A71D4"/>
    <w:multiLevelType w:val="hybridMultilevel"/>
    <w:tmpl w:val="612EC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15"/>
  </w:num>
  <w:num w:numId="14">
    <w:abstractNumId w:val="4"/>
  </w:num>
  <w:num w:numId="15">
    <w:abstractNumId w:val="16"/>
  </w:num>
  <w:num w:numId="16">
    <w:abstractNumId w:val="10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82BF9"/>
    <w:rsid w:val="0009077F"/>
    <w:rsid w:val="000957CA"/>
    <w:rsid w:val="00095A23"/>
    <w:rsid w:val="000A0035"/>
    <w:rsid w:val="000A02F9"/>
    <w:rsid w:val="000A0BF1"/>
    <w:rsid w:val="000A4916"/>
    <w:rsid w:val="000A7F53"/>
    <w:rsid w:val="000B021B"/>
    <w:rsid w:val="000B6B9A"/>
    <w:rsid w:val="000C755D"/>
    <w:rsid w:val="000E0E43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7D4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4F32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498E"/>
    <w:rsid w:val="001872F7"/>
    <w:rsid w:val="00193F16"/>
    <w:rsid w:val="001A1711"/>
    <w:rsid w:val="001A4995"/>
    <w:rsid w:val="001B11C3"/>
    <w:rsid w:val="001B3706"/>
    <w:rsid w:val="001B4A45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5AF1"/>
    <w:rsid w:val="00216AE3"/>
    <w:rsid w:val="00220A26"/>
    <w:rsid w:val="0022716F"/>
    <w:rsid w:val="00237559"/>
    <w:rsid w:val="0024022D"/>
    <w:rsid w:val="00243589"/>
    <w:rsid w:val="0024580D"/>
    <w:rsid w:val="00256C09"/>
    <w:rsid w:val="00261ED6"/>
    <w:rsid w:val="00262116"/>
    <w:rsid w:val="0026755D"/>
    <w:rsid w:val="00270E12"/>
    <w:rsid w:val="00272911"/>
    <w:rsid w:val="00274C1F"/>
    <w:rsid w:val="00277A0D"/>
    <w:rsid w:val="00290681"/>
    <w:rsid w:val="00293944"/>
    <w:rsid w:val="002939E8"/>
    <w:rsid w:val="00293E9E"/>
    <w:rsid w:val="002940E5"/>
    <w:rsid w:val="002A381A"/>
    <w:rsid w:val="002A5ADE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2187A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1B7B"/>
    <w:rsid w:val="003561BC"/>
    <w:rsid w:val="00356FA7"/>
    <w:rsid w:val="003611B2"/>
    <w:rsid w:val="003651D6"/>
    <w:rsid w:val="003661F6"/>
    <w:rsid w:val="003702D5"/>
    <w:rsid w:val="0037080D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E4ECA"/>
    <w:rsid w:val="004F2AA6"/>
    <w:rsid w:val="00503C29"/>
    <w:rsid w:val="005046F3"/>
    <w:rsid w:val="005079D8"/>
    <w:rsid w:val="00513094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2521"/>
    <w:rsid w:val="005E57A0"/>
    <w:rsid w:val="005E6F46"/>
    <w:rsid w:val="005E7103"/>
    <w:rsid w:val="005F1EF7"/>
    <w:rsid w:val="005F4C0A"/>
    <w:rsid w:val="0061171A"/>
    <w:rsid w:val="0061430D"/>
    <w:rsid w:val="00615368"/>
    <w:rsid w:val="00616607"/>
    <w:rsid w:val="00620B86"/>
    <w:rsid w:val="006238E3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72E1"/>
    <w:rsid w:val="007100D9"/>
    <w:rsid w:val="0071572A"/>
    <w:rsid w:val="007165C5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C604F"/>
    <w:rsid w:val="007D196B"/>
    <w:rsid w:val="007D6F08"/>
    <w:rsid w:val="007E145F"/>
    <w:rsid w:val="007E4934"/>
    <w:rsid w:val="007E659A"/>
    <w:rsid w:val="007F3B0D"/>
    <w:rsid w:val="007F5B4C"/>
    <w:rsid w:val="007F64D8"/>
    <w:rsid w:val="008017D0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56F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69D5"/>
    <w:rsid w:val="00A47D25"/>
    <w:rsid w:val="00A5230F"/>
    <w:rsid w:val="00A56F65"/>
    <w:rsid w:val="00A57368"/>
    <w:rsid w:val="00A60D4F"/>
    <w:rsid w:val="00A62541"/>
    <w:rsid w:val="00A6260F"/>
    <w:rsid w:val="00A76510"/>
    <w:rsid w:val="00A902B1"/>
    <w:rsid w:val="00A916C2"/>
    <w:rsid w:val="00A949A4"/>
    <w:rsid w:val="00A94DF8"/>
    <w:rsid w:val="00A95CF6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704E"/>
    <w:rsid w:val="00B20004"/>
    <w:rsid w:val="00B2025D"/>
    <w:rsid w:val="00B22AEF"/>
    <w:rsid w:val="00B238AA"/>
    <w:rsid w:val="00B30D77"/>
    <w:rsid w:val="00B32240"/>
    <w:rsid w:val="00B342E0"/>
    <w:rsid w:val="00B37479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598"/>
    <w:rsid w:val="00BC2A6B"/>
    <w:rsid w:val="00BC4082"/>
    <w:rsid w:val="00BD4573"/>
    <w:rsid w:val="00BE3211"/>
    <w:rsid w:val="00BE56C4"/>
    <w:rsid w:val="00BF2069"/>
    <w:rsid w:val="00BF3A98"/>
    <w:rsid w:val="00BF4FA3"/>
    <w:rsid w:val="00BF5782"/>
    <w:rsid w:val="00BF7CF2"/>
    <w:rsid w:val="00C03B3E"/>
    <w:rsid w:val="00C115CF"/>
    <w:rsid w:val="00C1212E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E6DC1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598"/>
    <w:rsid w:val="00D629D3"/>
    <w:rsid w:val="00D71859"/>
    <w:rsid w:val="00D71B8B"/>
    <w:rsid w:val="00D7355B"/>
    <w:rsid w:val="00D8338B"/>
    <w:rsid w:val="00D86867"/>
    <w:rsid w:val="00D870C7"/>
    <w:rsid w:val="00D90333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49DA"/>
    <w:rsid w:val="00DE5927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65CAA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199"/>
    <w:rsid w:val="00EA1437"/>
    <w:rsid w:val="00EA212C"/>
    <w:rsid w:val="00EA3A14"/>
    <w:rsid w:val="00EA47DF"/>
    <w:rsid w:val="00EA5FA1"/>
    <w:rsid w:val="00EB05DB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14D"/>
    <w:rsid w:val="00EF3717"/>
    <w:rsid w:val="00F00450"/>
    <w:rsid w:val="00F01207"/>
    <w:rsid w:val="00F01234"/>
    <w:rsid w:val="00F03ECF"/>
    <w:rsid w:val="00F13325"/>
    <w:rsid w:val="00F16F65"/>
    <w:rsid w:val="00F208AD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233D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2715"/>
    <w:rsid w:val="00FA14D1"/>
    <w:rsid w:val="00FA1A1D"/>
    <w:rsid w:val="00FA388C"/>
    <w:rsid w:val="00FA43FD"/>
    <w:rsid w:val="00FA4F05"/>
    <w:rsid w:val="00FB0134"/>
    <w:rsid w:val="00FB2C1B"/>
    <w:rsid w:val="00FB45B0"/>
    <w:rsid w:val="00FB499A"/>
    <w:rsid w:val="00FB4B2C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E516E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BAA6D06F-9918-4112-9713-30279FC4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  <w:style w:type="character" w:customStyle="1" w:styleId="CommentTextChar">
    <w:name w:val="Comment Text Char"/>
    <w:link w:val="CommentText"/>
    <w:semiHidden/>
    <w:rsid w:val="00E6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BED0-B773-41F9-A948-7940AB76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3</cp:revision>
  <cp:lastPrinted>2011-12-13T13:26:00Z</cp:lastPrinted>
  <dcterms:created xsi:type="dcterms:W3CDTF">2020-05-20T07:35:00Z</dcterms:created>
  <dcterms:modified xsi:type="dcterms:W3CDTF">2020-05-20T07:49:00Z</dcterms:modified>
</cp:coreProperties>
</file>